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png" ContentType="image/png"/>
  <Default Extension="jpeg" ContentType="image/jpeg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BodyText"/>
        <w:rPr>
          <w:rFonts w:ascii="Times New Roman"/>
        </w:rPr>
      </w:pPr>
    </w:p>
    <w:p>
      <w:pPr>
        <w:pStyle w:val="BodyText"/>
        <w:rPr>
          <w:rFonts w:ascii="Times New Roman"/>
        </w:rPr>
      </w:pPr>
    </w:p>
    <w:p>
      <w:pPr>
        <w:pStyle w:val="BodyText"/>
        <w:rPr>
          <w:rFonts w:ascii="Times New Roman"/>
        </w:rPr>
      </w:pPr>
    </w:p>
    <w:p>
      <w:pPr>
        <w:pStyle w:val="BodyText"/>
        <w:spacing w:before="225"/>
        <w:rPr>
          <w:rFonts w:ascii="Times New Roman"/>
        </w:rPr>
      </w:pPr>
    </w:p>
    <w:p>
      <w:pPr>
        <w:pStyle w:val="BodyText"/>
        <w:spacing w:after="0"/>
        <w:rPr>
          <w:rFonts w:ascii="Times New Roman"/>
        </w:rPr>
        <w:sectPr>
          <w:type w:val="continuous"/>
          <w:pgSz w:w="11910" w:h="16840"/>
          <w:pgMar w:top="0" w:bottom="280" w:left="566" w:right="566"/>
        </w:sectPr>
      </w:pPr>
    </w:p>
    <w:p>
      <w:pPr>
        <w:pStyle w:val="BodyText"/>
        <w:rPr>
          <w:rFonts w:ascii="Times New Roman"/>
          <w:sz w:val="13"/>
        </w:rPr>
      </w:pPr>
      <w:r>
        <w:rPr>
          <w:rFonts w:ascii="Times New Roman"/>
          <w:sz w:val="13"/>
        </w:rPr>
        <mc:AlternateContent>
          <mc:Choice Requires="wps">
            <w:drawing>
              <wp:anchor distT="0" distB="0" distL="0" distR="0" allowOverlap="1" layoutInCell="1" locked="0" behindDoc="0" simplePos="0" relativeHeight="15732224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7560309" cy="669290"/>
                <wp:effectExtent l="0" t="0" r="0" b="0"/>
                <wp:wrapNone/>
                <wp:docPr id="1" name="Group 1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" name="Group 1"/>
                      <wpg:cNvGrpSpPr/>
                      <wpg:grpSpPr>
                        <a:xfrm>
                          <a:off x="0" y="0"/>
                          <a:ext cx="7560309" cy="669290"/>
                          <a:chExt cx="7560309" cy="669290"/>
                        </a:xfrm>
                      </wpg:grpSpPr>
                      <wps:wsp>
                        <wps:cNvPr id="2" name="Graphic 2"/>
                        <wps:cNvSpPr/>
                        <wps:spPr>
                          <a:xfrm>
                            <a:off x="0" y="12"/>
                            <a:ext cx="7560309" cy="54673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560309" h="546735">
                                <a:moveTo>
                                  <a:pt x="7559992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546646"/>
                                </a:lnTo>
                                <a:lnTo>
                                  <a:pt x="7559992" y="546646"/>
                                </a:lnTo>
                                <a:lnTo>
                                  <a:pt x="755999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19BD7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3" name="Image 3"/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883964" y="0"/>
                            <a:ext cx="1422035" cy="669236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4" name="Textbox 4"/>
                        <wps:cNvSpPr txBox="1"/>
                        <wps:spPr>
                          <a:xfrm>
                            <a:off x="0" y="0"/>
                            <a:ext cx="7560309" cy="66929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152"/>
                                <w:ind w:left="441" w:right="0" w:firstLine="0"/>
                                <w:jc w:val="left"/>
                                <w:rPr>
                                  <w:b/>
                                  <w:sz w:val="40"/>
                                </w:rPr>
                              </w:pPr>
                              <w:r>
                                <w:rPr>
                                  <w:b/>
                                  <w:color w:val="FFFFFF"/>
                                  <w:sz w:val="40"/>
                                </w:rPr>
                                <w:t>October</w:t>
                              </w:r>
                              <w:r>
                                <w:rPr>
                                  <w:b/>
                                  <w:color w:val="FFFFFF"/>
                                  <w:spacing w:val="-5"/>
                                  <w:sz w:val="40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FFFFFF"/>
                                  <w:sz w:val="40"/>
                                </w:rPr>
                                <w:t>2026</w:t>
                              </w:r>
                              <w:r>
                                <w:rPr>
                                  <w:b/>
                                  <w:color w:val="FFFFFF"/>
                                  <w:spacing w:val="-3"/>
                                  <w:sz w:val="40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FFFFFF"/>
                                  <w:spacing w:val="-2"/>
                                  <w:sz w:val="40"/>
                                </w:rPr>
                                <w:t>Newsletter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0pt;margin-top:.000015pt;width:595.3pt;height:52.7pt;mso-position-horizontal-relative:page;mso-position-vertical-relative:page;z-index:15732224" id="docshapegroup1" coordorigin="0,0" coordsize="11906,1054">
                <v:rect style="position:absolute;left:0;top:0;width:11906;height:861" id="docshape2" filled="true" fillcolor="#019bd7" stroked="false">
                  <v:fill type="solid"/>
                </v:rect>
                <v:shape style="position:absolute;left:9266;top:0;width:2240;height:1054" type="#_x0000_t75" id="docshape3" stroked="false">
                  <v:imagedata r:id="rId5" o:title=""/>
                </v:shape>
                <v:shapetype id="_x0000_t202" o:spt="202" coordsize="21600,21600" path="m,l,21600r21600,l21600,xe">
                  <v:stroke joinstyle="miter"/>
                  <v:path gradientshapeok="t" o:connecttype="rect"/>
                </v:shapetype>
                <v:shape style="position:absolute;left:0;top:0;width:11906;height:1054" type="#_x0000_t202" id="docshape4" filled="false" stroked="false">
                  <v:textbox inset="0,0,0,0">
                    <w:txbxContent>
                      <w:p>
                        <w:pPr>
                          <w:spacing w:before="152"/>
                          <w:ind w:left="441" w:right="0" w:firstLine="0"/>
                          <w:jc w:val="left"/>
                          <w:rPr>
                            <w:b/>
                            <w:sz w:val="40"/>
                          </w:rPr>
                        </w:pPr>
                        <w:r>
                          <w:rPr>
                            <w:b/>
                            <w:color w:val="FFFFFF"/>
                            <w:sz w:val="40"/>
                          </w:rPr>
                          <w:t>October</w:t>
                        </w:r>
                        <w:r>
                          <w:rPr>
                            <w:b/>
                            <w:color w:val="FFFFFF"/>
                            <w:spacing w:val="-5"/>
                            <w:sz w:val="40"/>
                          </w:rPr>
                          <w:t> </w:t>
                        </w:r>
                        <w:r>
                          <w:rPr>
                            <w:b/>
                            <w:color w:val="FFFFFF"/>
                            <w:sz w:val="40"/>
                          </w:rPr>
                          <w:t>2026</w:t>
                        </w:r>
                        <w:r>
                          <w:rPr>
                            <w:b/>
                            <w:color w:val="FFFFFF"/>
                            <w:spacing w:val="-3"/>
                            <w:sz w:val="40"/>
                          </w:rPr>
                          <w:t> </w:t>
                        </w:r>
                        <w:r>
                          <w:rPr>
                            <w:b/>
                            <w:color w:val="FFFFFF"/>
                            <w:spacing w:val="-2"/>
                            <w:sz w:val="40"/>
                          </w:rPr>
                          <w:t>Newsletter</w:t>
                        </w:r>
                      </w:p>
                    </w:txbxContent>
                  </v:textbox>
                  <w10:wrap type="none"/>
                </v:shape>
                <w10:wrap type="none"/>
              </v:group>
            </w:pict>
          </mc:Fallback>
        </mc:AlternateContent>
      </w:r>
    </w:p>
    <w:p>
      <w:pPr>
        <w:spacing w:line="240" w:lineRule="auto"/>
        <w:ind w:left="132" w:right="0" w:firstLine="0"/>
        <w:rPr>
          <w:rFonts w:ascii="Times New Roman"/>
          <w:sz w:val="20"/>
        </w:rPr>
      </w:pPr>
      <w:r>
        <w:rPr>
          <w:rFonts w:ascii="Times New Roman"/>
          <w:sz w:val="20"/>
        </w:rPr>
        <mc:AlternateContent>
          <mc:Choice Requires="wps">
            <w:drawing>
              <wp:inline distT="0" distB="0" distL="0" distR="0">
                <wp:extent cx="3143250" cy="514984"/>
                <wp:effectExtent l="0" t="0" r="0" b="0"/>
                <wp:docPr id="5" name="Textbox 5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5" name="Textbox 5"/>
                      <wps:cNvSpPr txBox="1"/>
                      <wps:spPr>
                        <a:xfrm>
                          <a:off x="0" y="0"/>
                          <a:ext cx="3143250" cy="514984"/>
                        </a:xfrm>
                        <a:prstGeom prst="rect">
                          <a:avLst/>
                        </a:prstGeom>
                        <a:solidFill>
                          <a:srgbClr val="019BD7"/>
                        </a:solidFill>
                      </wps:spPr>
                      <wps:txbx>
                        <w:txbxContent>
                          <w:p>
                            <w:pPr>
                              <w:spacing w:line="225" w:lineRule="auto" w:before="104"/>
                              <w:ind w:left="101" w:right="0" w:firstLine="0"/>
                              <w:jc w:val="left"/>
                              <w:rPr>
                                <w:b/>
                                <w:color w:val="000000"/>
                                <w:sz w:val="28"/>
                              </w:rPr>
                            </w:pPr>
                            <w:r>
                              <w:rPr>
                                <w:b/>
                                <w:color w:val="FFFFFF"/>
                                <w:sz w:val="28"/>
                              </w:rPr>
                              <w:t>Are</w:t>
                            </w:r>
                            <w:r>
                              <w:rPr>
                                <w:b/>
                                <w:color w:val="FFFFFF"/>
                                <w:spacing w:val="-9"/>
                                <w:sz w:val="28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FFFFFF"/>
                                <w:sz w:val="28"/>
                              </w:rPr>
                              <w:t>you</w:t>
                            </w:r>
                            <w:r>
                              <w:rPr>
                                <w:b/>
                                <w:color w:val="FFFFFF"/>
                                <w:spacing w:val="-8"/>
                                <w:sz w:val="28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FFFFFF"/>
                                <w:sz w:val="28"/>
                              </w:rPr>
                              <w:t>up</w:t>
                            </w:r>
                            <w:r>
                              <w:rPr>
                                <w:b/>
                                <w:color w:val="FFFFFF"/>
                                <w:spacing w:val="-8"/>
                                <w:sz w:val="28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FFFFFF"/>
                                <w:sz w:val="28"/>
                              </w:rPr>
                              <w:t>to</w:t>
                            </w:r>
                            <w:r>
                              <w:rPr>
                                <w:b/>
                                <w:color w:val="FFFFFF"/>
                                <w:spacing w:val="-8"/>
                                <w:sz w:val="28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FFFFFF"/>
                                <w:sz w:val="28"/>
                              </w:rPr>
                              <w:t>date</w:t>
                            </w:r>
                            <w:r>
                              <w:rPr>
                                <w:b/>
                                <w:color w:val="FFFFFF"/>
                                <w:spacing w:val="-9"/>
                                <w:sz w:val="28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FFFFFF"/>
                                <w:sz w:val="28"/>
                              </w:rPr>
                              <w:t>with</w:t>
                            </w:r>
                            <w:r>
                              <w:rPr>
                                <w:b/>
                                <w:color w:val="FFFFFF"/>
                                <w:spacing w:val="-8"/>
                                <w:sz w:val="28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FFFFFF"/>
                                <w:sz w:val="28"/>
                              </w:rPr>
                              <w:t>the</w:t>
                            </w:r>
                            <w:r>
                              <w:rPr>
                                <w:b/>
                                <w:color w:val="FFFFFF"/>
                                <w:spacing w:val="-9"/>
                                <w:sz w:val="28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FFFFFF"/>
                                <w:sz w:val="28"/>
                              </w:rPr>
                              <w:t>latest</w:t>
                            </w:r>
                            <w:r>
                              <w:rPr>
                                <w:b/>
                                <w:color w:val="FFFFFF"/>
                                <w:spacing w:val="-8"/>
                                <w:sz w:val="28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FFFFFF"/>
                                <w:sz w:val="28"/>
                              </w:rPr>
                              <w:t>SMSF </w:t>
                            </w:r>
                            <w:r>
                              <w:rPr>
                                <w:b/>
                                <w:color w:val="FFFFFF"/>
                                <w:spacing w:val="-2"/>
                                <w:sz w:val="28"/>
                              </w:rPr>
                              <w:t>changes?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style="width:247.5pt;height:40.550pt;mso-position-horizontal-relative:char;mso-position-vertical-relative:line" type="#_x0000_t202" id="docshape5" filled="true" fillcolor="#019bd7" stroked="false">
                <w10:anchorlock/>
                <v:textbox inset="0,0,0,0">
                  <w:txbxContent>
                    <w:p>
                      <w:pPr>
                        <w:spacing w:line="225" w:lineRule="auto" w:before="104"/>
                        <w:ind w:left="101" w:right="0" w:firstLine="0"/>
                        <w:jc w:val="left"/>
                        <w:rPr>
                          <w:b/>
                          <w:color w:val="000000"/>
                          <w:sz w:val="28"/>
                        </w:rPr>
                      </w:pPr>
                      <w:r>
                        <w:rPr>
                          <w:b/>
                          <w:color w:val="FFFFFF"/>
                          <w:sz w:val="28"/>
                        </w:rPr>
                        <w:t>Are</w:t>
                      </w:r>
                      <w:r>
                        <w:rPr>
                          <w:b/>
                          <w:color w:val="FFFFFF"/>
                          <w:spacing w:val="-9"/>
                          <w:sz w:val="28"/>
                        </w:rPr>
                        <w:t> </w:t>
                      </w:r>
                      <w:r>
                        <w:rPr>
                          <w:b/>
                          <w:color w:val="FFFFFF"/>
                          <w:sz w:val="28"/>
                        </w:rPr>
                        <w:t>you</w:t>
                      </w:r>
                      <w:r>
                        <w:rPr>
                          <w:b/>
                          <w:color w:val="FFFFFF"/>
                          <w:spacing w:val="-8"/>
                          <w:sz w:val="28"/>
                        </w:rPr>
                        <w:t> </w:t>
                      </w:r>
                      <w:r>
                        <w:rPr>
                          <w:b/>
                          <w:color w:val="FFFFFF"/>
                          <w:sz w:val="28"/>
                        </w:rPr>
                        <w:t>up</w:t>
                      </w:r>
                      <w:r>
                        <w:rPr>
                          <w:b/>
                          <w:color w:val="FFFFFF"/>
                          <w:spacing w:val="-8"/>
                          <w:sz w:val="28"/>
                        </w:rPr>
                        <w:t> </w:t>
                      </w:r>
                      <w:r>
                        <w:rPr>
                          <w:b/>
                          <w:color w:val="FFFFFF"/>
                          <w:sz w:val="28"/>
                        </w:rPr>
                        <w:t>to</w:t>
                      </w:r>
                      <w:r>
                        <w:rPr>
                          <w:b/>
                          <w:color w:val="FFFFFF"/>
                          <w:spacing w:val="-8"/>
                          <w:sz w:val="28"/>
                        </w:rPr>
                        <w:t> </w:t>
                      </w:r>
                      <w:r>
                        <w:rPr>
                          <w:b/>
                          <w:color w:val="FFFFFF"/>
                          <w:sz w:val="28"/>
                        </w:rPr>
                        <w:t>date</w:t>
                      </w:r>
                      <w:r>
                        <w:rPr>
                          <w:b/>
                          <w:color w:val="FFFFFF"/>
                          <w:spacing w:val="-9"/>
                          <w:sz w:val="28"/>
                        </w:rPr>
                        <w:t> </w:t>
                      </w:r>
                      <w:r>
                        <w:rPr>
                          <w:b/>
                          <w:color w:val="FFFFFF"/>
                          <w:sz w:val="28"/>
                        </w:rPr>
                        <w:t>with</w:t>
                      </w:r>
                      <w:r>
                        <w:rPr>
                          <w:b/>
                          <w:color w:val="FFFFFF"/>
                          <w:spacing w:val="-8"/>
                          <w:sz w:val="28"/>
                        </w:rPr>
                        <w:t> </w:t>
                      </w:r>
                      <w:r>
                        <w:rPr>
                          <w:b/>
                          <w:color w:val="FFFFFF"/>
                          <w:sz w:val="28"/>
                        </w:rPr>
                        <w:t>the</w:t>
                      </w:r>
                      <w:r>
                        <w:rPr>
                          <w:b/>
                          <w:color w:val="FFFFFF"/>
                          <w:spacing w:val="-9"/>
                          <w:sz w:val="28"/>
                        </w:rPr>
                        <w:t> </w:t>
                      </w:r>
                      <w:r>
                        <w:rPr>
                          <w:b/>
                          <w:color w:val="FFFFFF"/>
                          <w:sz w:val="28"/>
                        </w:rPr>
                        <w:t>latest</w:t>
                      </w:r>
                      <w:r>
                        <w:rPr>
                          <w:b/>
                          <w:color w:val="FFFFFF"/>
                          <w:spacing w:val="-8"/>
                          <w:sz w:val="28"/>
                        </w:rPr>
                        <w:t> </w:t>
                      </w:r>
                      <w:r>
                        <w:rPr>
                          <w:b/>
                          <w:color w:val="FFFFFF"/>
                          <w:sz w:val="28"/>
                        </w:rPr>
                        <w:t>SMSF </w:t>
                      </w:r>
                      <w:r>
                        <w:rPr>
                          <w:b/>
                          <w:color w:val="FFFFFF"/>
                          <w:spacing w:val="-2"/>
                          <w:sz w:val="28"/>
                        </w:rPr>
                        <w:t>changes?</w:t>
                      </w:r>
                    </w:p>
                  </w:txbxContent>
                </v:textbox>
                <v:fill type="solid"/>
              </v:shape>
            </w:pict>
          </mc:Fallback>
        </mc:AlternateContent>
      </w:r>
      <w:r>
        <w:rPr>
          <w:rFonts w:ascii="Times New Roman"/>
          <w:sz w:val="20"/>
        </w:rPr>
      </w:r>
    </w:p>
    <w:p>
      <w:pPr>
        <w:pStyle w:val="BodyText"/>
        <w:spacing w:before="176"/>
        <w:ind w:left="134"/>
        <w:jc w:val="both"/>
      </w:pPr>
      <w:r>
        <w:rPr>
          <w:color w:val="231F20"/>
        </w:rPr>
        <w:t>Dear </w:t>
      </w:r>
      <w:r>
        <w:rPr>
          <w:color w:val="231F20"/>
          <w:spacing w:val="-2"/>
        </w:rPr>
        <w:t>Trustees,</w:t>
      </w:r>
    </w:p>
    <w:p>
      <w:pPr>
        <w:pStyle w:val="BodyText"/>
        <w:spacing w:line="235" w:lineRule="auto" w:before="240"/>
        <w:ind w:left="134" w:right="43"/>
        <w:jc w:val="both"/>
      </w:pPr>
      <w:r>
        <w:rPr>
          <w:color w:val="231F20"/>
        </w:rPr>
        <w:t>With</w:t>
      </w:r>
      <w:r>
        <w:rPr>
          <w:color w:val="231F20"/>
          <w:spacing w:val="-6"/>
        </w:rPr>
        <w:t> </w:t>
      </w:r>
      <w:r>
        <w:rPr>
          <w:color w:val="231F20"/>
        </w:rPr>
        <w:t>SMSF</w:t>
      </w:r>
      <w:r>
        <w:rPr>
          <w:color w:val="231F20"/>
          <w:spacing w:val="-6"/>
        </w:rPr>
        <w:t> </w:t>
      </w:r>
      <w:r>
        <w:rPr>
          <w:color w:val="231F20"/>
        </w:rPr>
        <w:t>Annual</w:t>
      </w:r>
      <w:r>
        <w:rPr>
          <w:color w:val="231F20"/>
          <w:spacing w:val="-6"/>
        </w:rPr>
        <w:t> </w:t>
      </w:r>
      <w:r>
        <w:rPr>
          <w:color w:val="231F20"/>
        </w:rPr>
        <w:t>Return</w:t>
      </w:r>
      <w:r>
        <w:rPr>
          <w:color w:val="231F20"/>
          <w:spacing w:val="-6"/>
        </w:rPr>
        <w:t> </w:t>
      </w:r>
      <w:r>
        <w:rPr>
          <w:color w:val="231F20"/>
        </w:rPr>
        <w:t>lodgment</w:t>
      </w:r>
      <w:r>
        <w:rPr>
          <w:color w:val="231F20"/>
          <w:spacing w:val="-6"/>
        </w:rPr>
        <w:t> </w:t>
      </w:r>
      <w:r>
        <w:rPr>
          <w:color w:val="231F20"/>
        </w:rPr>
        <w:t>season</w:t>
      </w:r>
      <w:r>
        <w:rPr>
          <w:color w:val="231F20"/>
          <w:spacing w:val="-6"/>
        </w:rPr>
        <w:t> </w:t>
      </w:r>
      <w:r>
        <w:rPr>
          <w:color w:val="231F20"/>
        </w:rPr>
        <w:t>underway,</w:t>
      </w:r>
      <w:r>
        <w:rPr>
          <w:color w:val="231F20"/>
          <w:spacing w:val="-6"/>
        </w:rPr>
        <w:t> </w:t>
      </w:r>
      <w:r>
        <w:rPr>
          <w:color w:val="231F20"/>
        </w:rPr>
        <w:t>this</w:t>
      </w:r>
      <w:r>
        <w:rPr>
          <w:color w:val="231F20"/>
          <w:spacing w:val="-6"/>
        </w:rPr>
        <w:t> </w:t>
      </w:r>
      <w:r>
        <w:rPr>
          <w:color w:val="231F20"/>
        </w:rPr>
        <w:t>is a busy time in the compliance calendar. We have still taken the time to update you on what is happening in the SMSF </w:t>
      </w:r>
      <w:r>
        <w:rPr>
          <w:color w:val="231F20"/>
          <w:spacing w:val="-2"/>
        </w:rPr>
        <w:t>space.</w:t>
      </w:r>
    </w:p>
    <w:p>
      <w:pPr>
        <w:pStyle w:val="BodyText"/>
        <w:spacing w:line="235" w:lineRule="auto" w:before="3"/>
        <w:ind w:left="134" w:right="46"/>
        <w:jc w:val="both"/>
      </w:pPr>
      <w:r>
        <w:rPr>
          <w:color w:val="231F20"/>
        </w:rPr>
        <w:t>Are you across the latest developments? If so, great. If not, we're here to help.</w:t>
      </w:r>
    </w:p>
    <w:p>
      <w:pPr>
        <w:pStyle w:val="BodyText"/>
        <w:spacing w:line="242" w:lineRule="exact" w:before="237"/>
        <w:ind w:left="134"/>
      </w:pPr>
      <w:r>
        <w:rPr>
          <w:color w:val="231F20"/>
        </w:rPr>
        <w:t>In</w:t>
      </w:r>
      <w:r>
        <w:rPr>
          <w:color w:val="231F20"/>
          <w:spacing w:val="-5"/>
        </w:rPr>
        <w:t> </w:t>
      </w:r>
      <w:r>
        <w:rPr>
          <w:color w:val="231F20"/>
        </w:rPr>
        <w:t>this</w:t>
      </w:r>
      <w:r>
        <w:rPr>
          <w:color w:val="231F20"/>
          <w:spacing w:val="-4"/>
        </w:rPr>
        <w:t> </w:t>
      </w:r>
      <w:r>
        <w:rPr>
          <w:color w:val="231F20"/>
        </w:rPr>
        <w:t>edition,</w:t>
      </w:r>
      <w:r>
        <w:rPr>
          <w:color w:val="231F20"/>
          <w:spacing w:val="-3"/>
        </w:rPr>
        <w:t> </w:t>
      </w:r>
      <w:r>
        <w:rPr>
          <w:color w:val="231F20"/>
        </w:rPr>
        <w:t>we</w:t>
      </w:r>
      <w:r>
        <w:rPr>
          <w:color w:val="231F20"/>
          <w:spacing w:val="-3"/>
        </w:rPr>
        <w:t> </w:t>
      </w:r>
      <w:r>
        <w:rPr>
          <w:color w:val="231F20"/>
          <w:spacing w:val="-2"/>
        </w:rPr>
        <w:t>cover:</w:t>
      </w:r>
    </w:p>
    <w:p>
      <w:pPr>
        <w:pStyle w:val="ListParagraph"/>
        <w:numPr>
          <w:ilvl w:val="0"/>
          <w:numId w:val="1"/>
        </w:numPr>
        <w:tabs>
          <w:tab w:pos="494" w:val="left" w:leader="none"/>
        </w:tabs>
        <w:spacing w:line="235" w:lineRule="auto" w:before="2" w:after="0"/>
        <w:ind w:left="494" w:right="44" w:hanging="360"/>
        <w:jc w:val="left"/>
        <w:rPr>
          <w:color w:val="231F20"/>
          <w:sz w:val="20"/>
        </w:rPr>
      </w:pPr>
      <w:r>
        <w:rPr>
          <w:color w:val="231F20"/>
          <w:sz w:val="20"/>
        </w:rPr>
        <w:t>Why</w:t>
      </w:r>
      <w:r>
        <w:rPr>
          <w:color w:val="231F20"/>
          <w:spacing w:val="40"/>
          <w:sz w:val="20"/>
        </w:rPr>
        <w:t> </w:t>
      </w:r>
      <w:r>
        <w:rPr>
          <w:color w:val="231F20"/>
          <w:sz w:val="20"/>
        </w:rPr>
        <w:t>the</w:t>
      </w:r>
      <w:r>
        <w:rPr>
          <w:color w:val="231F20"/>
          <w:spacing w:val="40"/>
          <w:sz w:val="20"/>
        </w:rPr>
        <w:t> </w:t>
      </w:r>
      <w:r>
        <w:rPr>
          <w:color w:val="231F20"/>
          <w:sz w:val="20"/>
        </w:rPr>
        <w:t>ATO</w:t>
      </w:r>
      <w:r>
        <w:rPr>
          <w:color w:val="231F20"/>
          <w:spacing w:val="40"/>
          <w:sz w:val="20"/>
        </w:rPr>
        <w:t> </w:t>
      </w:r>
      <w:r>
        <w:rPr>
          <w:color w:val="231F20"/>
          <w:sz w:val="20"/>
        </w:rPr>
        <w:t>is</w:t>
      </w:r>
      <w:r>
        <w:rPr>
          <w:color w:val="231F20"/>
          <w:spacing w:val="40"/>
          <w:sz w:val="20"/>
        </w:rPr>
        <w:t> </w:t>
      </w:r>
      <w:r>
        <w:rPr>
          <w:color w:val="231F20"/>
          <w:sz w:val="20"/>
        </w:rPr>
        <w:t>increasing</w:t>
      </w:r>
      <w:r>
        <w:rPr>
          <w:color w:val="231F20"/>
          <w:spacing w:val="40"/>
          <w:sz w:val="20"/>
        </w:rPr>
        <w:t> </w:t>
      </w:r>
      <w:r>
        <w:rPr>
          <w:color w:val="231F20"/>
          <w:sz w:val="20"/>
        </w:rPr>
        <w:t>its</w:t>
      </w:r>
      <w:r>
        <w:rPr>
          <w:color w:val="231F20"/>
          <w:spacing w:val="40"/>
          <w:sz w:val="20"/>
        </w:rPr>
        <w:t> </w:t>
      </w:r>
      <w:r>
        <w:rPr>
          <w:color w:val="231F20"/>
          <w:sz w:val="20"/>
        </w:rPr>
        <w:t>focus</w:t>
      </w:r>
      <w:r>
        <w:rPr>
          <w:color w:val="231F20"/>
          <w:spacing w:val="40"/>
          <w:sz w:val="20"/>
        </w:rPr>
        <w:t> </w:t>
      </w:r>
      <w:r>
        <w:rPr>
          <w:color w:val="231F20"/>
          <w:sz w:val="20"/>
        </w:rPr>
        <w:t>on</w:t>
      </w:r>
      <w:r>
        <w:rPr>
          <w:color w:val="231F20"/>
          <w:spacing w:val="40"/>
          <w:sz w:val="20"/>
        </w:rPr>
        <w:t> </w:t>
      </w:r>
      <w:r>
        <w:rPr>
          <w:color w:val="231F20"/>
          <w:sz w:val="20"/>
        </w:rPr>
        <w:t>SMSF</w:t>
      </w:r>
      <w:r>
        <w:rPr>
          <w:color w:val="231F20"/>
          <w:spacing w:val="40"/>
          <w:sz w:val="20"/>
        </w:rPr>
        <w:t> </w:t>
      </w:r>
      <w:r>
        <w:rPr>
          <w:color w:val="231F20"/>
          <w:sz w:val="20"/>
        </w:rPr>
        <w:t>asset </w:t>
      </w:r>
      <w:r>
        <w:rPr>
          <w:color w:val="231F20"/>
          <w:spacing w:val="-2"/>
          <w:sz w:val="20"/>
        </w:rPr>
        <w:t>valuations?</w:t>
      </w:r>
    </w:p>
    <w:p>
      <w:pPr>
        <w:pStyle w:val="ListParagraph"/>
        <w:numPr>
          <w:ilvl w:val="0"/>
          <w:numId w:val="1"/>
        </w:numPr>
        <w:tabs>
          <w:tab w:pos="494" w:val="left" w:leader="none"/>
        </w:tabs>
        <w:spacing w:line="240" w:lineRule="exact" w:before="0" w:after="0"/>
        <w:ind w:left="494" w:right="0" w:hanging="360"/>
        <w:jc w:val="left"/>
        <w:rPr>
          <w:color w:val="231F20"/>
          <w:sz w:val="20"/>
        </w:rPr>
      </w:pPr>
      <w:r>
        <w:rPr>
          <w:color w:val="231F20"/>
          <w:sz w:val="20"/>
        </w:rPr>
        <w:t>The</w:t>
      </w:r>
      <w:r>
        <w:rPr>
          <w:color w:val="231F20"/>
          <w:spacing w:val="-10"/>
          <w:sz w:val="20"/>
        </w:rPr>
        <w:t> </w:t>
      </w:r>
      <w:r>
        <w:rPr>
          <w:color w:val="231F20"/>
          <w:sz w:val="20"/>
        </w:rPr>
        <w:t>ATO's</w:t>
      </w:r>
      <w:r>
        <w:rPr>
          <w:color w:val="231F20"/>
          <w:spacing w:val="-9"/>
          <w:sz w:val="20"/>
        </w:rPr>
        <w:t> </w:t>
      </w:r>
      <w:r>
        <w:rPr>
          <w:color w:val="231F20"/>
          <w:sz w:val="20"/>
        </w:rPr>
        <w:t>clarification</w:t>
      </w:r>
      <w:r>
        <w:rPr>
          <w:color w:val="231F20"/>
          <w:spacing w:val="-10"/>
          <w:sz w:val="20"/>
        </w:rPr>
        <w:t> </w:t>
      </w:r>
      <w:r>
        <w:rPr>
          <w:color w:val="231F20"/>
          <w:sz w:val="20"/>
        </w:rPr>
        <w:t>on</w:t>
      </w:r>
      <w:r>
        <w:rPr>
          <w:color w:val="231F20"/>
          <w:spacing w:val="-10"/>
          <w:sz w:val="20"/>
        </w:rPr>
        <w:t> </w:t>
      </w:r>
      <w:r>
        <w:rPr>
          <w:color w:val="231F20"/>
          <w:sz w:val="20"/>
        </w:rPr>
        <w:t>SMSF</w:t>
      </w:r>
      <w:r>
        <w:rPr>
          <w:color w:val="231F20"/>
          <w:spacing w:val="-10"/>
          <w:sz w:val="20"/>
        </w:rPr>
        <w:t> </w:t>
      </w:r>
      <w:r>
        <w:rPr>
          <w:color w:val="231F20"/>
          <w:sz w:val="20"/>
        </w:rPr>
        <w:t>set-up</w:t>
      </w:r>
      <w:r>
        <w:rPr>
          <w:color w:val="231F20"/>
          <w:spacing w:val="-10"/>
          <w:sz w:val="20"/>
        </w:rPr>
        <w:t> </w:t>
      </w:r>
      <w:r>
        <w:rPr>
          <w:color w:val="231F20"/>
          <w:spacing w:val="-2"/>
          <w:sz w:val="20"/>
        </w:rPr>
        <w:t>costs.</w:t>
      </w:r>
    </w:p>
    <w:p>
      <w:pPr>
        <w:pStyle w:val="ListParagraph"/>
        <w:numPr>
          <w:ilvl w:val="0"/>
          <w:numId w:val="1"/>
        </w:numPr>
        <w:tabs>
          <w:tab w:pos="494" w:val="left" w:leader="none"/>
        </w:tabs>
        <w:spacing w:line="235" w:lineRule="auto" w:before="2" w:after="0"/>
        <w:ind w:left="494" w:right="44" w:hanging="360"/>
        <w:jc w:val="both"/>
        <w:rPr>
          <w:color w:val="231F20"/>
          <w:sz w:val="20"/>
        </w:rPr>
      </w:pPr>
      <w:r>
        <w:rPr>
          <w:color w:val="231F20"/>
          <w:sz w:val="20"/>
        </w:rPr>
        <w:t>What a recent Tribunal decision shows about withdrawing super before meeting a condition of </w:t>
      </w:r>
      <w:r>
        <w:rPr>
          <w:color w:val="231F20"/>
          <w:spacing w:val="-2"/>
          <w:sz w:val="20"/>
        </w:rPr>
        <w:t>release?</w:t>
      </w:r>
    </w:p>
    <w:p>
      <w:pPr>
        <w:pStyle w:val="ListParagraph"/>
        <w:numPr>
          <w:ilvl w:val="0"/>
          <w:numId w:val="1"/>
        </w:numPr>
        <w:tabs>
          <w:tab w:pos="494" w:val="left" w:leader="none"/>
        </w:tabs>
        <w:spacing w:line="235" w:lineRule="auto" w:before="2" w:after="0"/>
        <w:ind w:left="494" w:right="45" w:hanging="360"/>
        <w:jc w:val="both"/>
        <w:rPr>
          <w:color w:val="231F20"/>
          <w:sz w:val="20"/>
        </w:rPr>
      </w:pPr>
      <w:r>
        <w:rPr>
          <w:color w:val="231F20"/>
          <w:sz w:val="20"/>
        </w:rPr>
        <w:t>The Government’s ban on new SMSF borrowing to buy residential property from 10 August 2026.</w:t>
      </w:r>
    </w:p>
    <w:p>
      <w:pPr>
        <w:pStyle w:val="BodyText"/>
        <w:spacing w:line="235" w:lineRule="auto" w:before="241"/>
        <w:ind w:left="134" w:right="44"/>
        <w:jc w:val="both"/>
      </w:pPr>
      <w:r>
        <w:rPr>
          <w:color w:val="231F20"/>
        </w:rPr>
        <w:t>Let’s take a closer look at these key developments and what they mean for you as an SMSF trustee.</w:t>
      </w:r>
    </w:p>
    <w:p>
      <w:pPr>
        <w:pStyle w:val="BodyText"/>
        <w:spacing w:before="6"/>
        <w:rPr>
          <w:sz w:val="19"/>
        </w:rPr>
      </w:pPr>
      <w:r>
        <w:rPr>
          <w:sz w:val="19"/>
        </w:rPr>
        <mc:AlternateContent>
          <mc:Choice Requires="wps">
            <w:drawing>
              <wp:anchor distT="0" distB="0" distL="0" distR="0" allowOverlap="1" layoutInCell="1" locked="0" behindDoc="1" simplePos="0" relativeHeight="487588352">
                <wp:simplePos x="0" y="0"/>
                <wp:positionH relativeFrom="page">
                  <wp:posOffset>443852</wp:posOffset>
                </wp:positionH>
                <wp:positionV relativeFrom="paragraph">
                  <wp:posOffset>166481</wp:posOffset>
                </wp:positionV>
                <wp:extent cx="3143250" cy="740410"/>
                <wp:effectExtent l="0" t="0" r="0" b="0"/>
                <wp:wrapTopAndBottom/>
                <wp:docPr id="6" name="Textbox 6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6" name="Textbox 6"/>
                      <wps:cNvSpPr txBox="1"/>
                      <wps:spPr>
                        <a:xfrm>
                          <a:off x="0" y="0"/>
                          <a:ext cx="3143250" cy="740410"/>
                        </a:xfrm>
                        <a:prstGeom prst="rect">
                          <a:avLst/>
                        </a:prstGeom>
                        <a:solidFill>
                          <a:srgbClr val="019BD7"/>
                        </a:solidFill>
                      </wps:spPr>
                      <wps:txbx>
                        <w:txbxContent>
                          <w:p>
                            <w:pPr>
                              <w:spacing w:line="225" w:lineRule="auto" w:before="104"/>
                              <w:ind w:left="100" w:right="0" w:firstLine="0"/>
                              <w:jc w:val="left"/>
                              <w:rPr>
                                <w:b/>
                                <w:color w:val="000000"/>
                                <w:sz w:val="28"/>
                              </w:rPr>
                            </w:pPr>
                            <w:r>
                              <w:rPr>
                                <w:b/>
                                <w:color w:val="FFFFFF"/>
                                <w:spacing w:val="-2"/>
                                <w:w w:val="110"/>
                                <w:sz w:val="28"/>
                              </w:rPr>
                              <w:t>ATO</w:t>
                            </w:r>
                            <w:r>
                              <w:rPr>
                                <w:b/>
                                <w:color w:val="FFFFFF"/>
                                <w:spacing w:val="-13"/>
                                <w:w w:val="110"/>
                                <w:sz w:val="28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FFFFFF"/>
                                <w:spacing w:val="-2"/>
                                <w:w w:val="110"/>
                                <w:sz w:val="28"/>
                              </w:rPr>
                              <w:t>increases</w:t>
                            </w:r>
                            <w:r>
                              <w:rPr>
                                <w:b/>
                                <w:color w:val="FFFFFF"/>
                                <w:spacing w:val="-13"/>
                                <w:w w:val="110"/>
                                <w:sz w:val="28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FFFFFF"/>
                                <w:spacing w:val="-2"/>
                                <w:w w:val="110"/>
                                <w:sz w:val="28"/>
                              </w:rPr>
                              <w:t>its</w:t>
                            </w:r>
                            <w:r>
                              <w:rPr>
                                <w:b/>
                                <w:color w:val="FFFFFF"/>
                                <w:spacing w:val="-13"/>
                                <w:w w:val="110"/>
                                <w:sz w:val="28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FFFFFF"/>
                                <w:spacing w:val="-2"/>
                                <w:w w:val="110"/>
                                <w:sz w:val="28"/>
                              </w:rPr>
                              <w:t>focus</w:t>
                            </w:r>
                            <w:r>
                              <w:rPr>
                                <w:b/>
                                <w:color w:val="FFFFFF"/>
                                <w:spacing w:val="-13"/>
                                <w:w w:val="110"/>
                                <w:sz w:val="28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FFFFFF"/>
                                <w:spacing w:val="-2"/>
                                <w:w w:val="110"/>
                                <w:sz w:val="28"/>
                              </w:rPr>
                              <w:t>on</w:t>
                            </w:r>
                            <w:r>
                              <w:rPr>
                                <w:b/>
                                <w:color w:val="FFFFFF"/>
                                <w:spacing w:val="-13"/>
                                <w:w w:val="110"/>
                                <w:sz w:val="28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FFFFFF"/>
                                <w:spacing w:val="-2"/>
                                <w:w w:val="110"/>
                                <w:sz w:val="28"/>
                              </w:rPr>
                              <w:t>SMSF</w:t>
                            </w:r>
                            <w:r>
                              <w:rPr>
                                <w:b/>
                                <w:color w:val="FFFFFF"/>
                                <w:spacing w:val="-13"/>
                                <w:w w:val="110"/>
                                <w:sz w:val="28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FFFFFF"/>
                                <w:spacing w:val="-2"/>
                                <w:w w:val="110"/>
                                <w:sz w:val="28"/>
                              </w:rPr>
                              <w:t>asset </w:t>
                            </w:r>
                            <w:r>
                              <w:rPr>
                                <w:b/>
                                <w:color w:val="FFFFFF"/>
                                <w:w w:val="110"/>
                                <w:sz w:val="28"/>
                              </w:rPr>
                              <w:t>valuations as the new tax on super balances over $3 million begins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34.949001pt;margin-top:13.108789pt;width:247.5pt;height:58.3pt;mso-position-horizontal-relative:page;mso-position-vertical-relative:paragraph;z-index:-15728128;mso-wrap-distance-left:0;mso-wrap-distance-right:0" type="#_x0000_t202" id="docshape6" filled="true" fillcolor="#019bd7" stroked="false">
                <v:textbox inset="0,0,0,0">
                  <w:txbxContent>
                    <w:p>
                      <w:pPr>
                        <w:spacing w:line="225" w:lineRule="auto" w:before="104"/>
                        <w:ind w:left="100" w:right="0" w:firstLine="0"/>
                        <w:jc w:val="left"/>
                        <w:rPr>
                          <w:b/>
                          <w:color w:val="000000"/>
                          <w:sz w:val="28"/>
                        </w:rPr>
                      </w:pPr>
                      <w:r>
                        <w:rPr>
                          <w:b/>
                          <w:color w:val="FFFFFF"/>
                          <w:spacing w:val="-2"/>
                          <w:w w:val="110"/>
                          <w:sz w:val="28"/>
                        </w:rPr>
                        <w:t>ATO</w:t>
                      </w:r>
                      <w:r>
                        <w:rPr>
                          <w:b/>
                          <w:color w:val="FFFFFF"/>
                          <w:spacing w:val="-13"/>
                          <w:w w:val="110"/>
                          <w:sz w:val="28"/>
                        </w:rPr>
                        <w:t> </w:t>
                      </w:r>
                      <w:r>
                        <w:rPr>
                          <w:b/>
                          <w:color w:val="FFFFFF"/>
                          <w:spacing w:val="-2"/>
                          <w:w w:val="110"/>
                          <w:sz w:val="28"/>
                        </w:rPr>
                        <w:t>increases</w:t>
                      </w:r>
                      <w:r>
                        <w:rPr>
                          <w:b/>
                          <w:color w:val="FFFFFF"/>
                          <w:spacing w:val="-13"/>
                          <w:w w:val="110"/>
                          <w:sz w:val="28"/>
                        </w:rPr>
                        <w:t> </w:t>
                      </w:r>
                      <w:r>
                        <w:rPr>
                          <w:b/>
                          <w:color w:val="FFFFFF"/>
                          <w:spacing w:val="-2"/>
                          <w:w w:val="110"/>
                          <w:sz w:val="28"/>
                        </w:rPr>
                        <w:t>its</w:t>
                      </w:r>
                      <w:r>
                        <w:rPr>
                          <w:b/>
                          <w:color w:val="FFFFFF"/>
                          <w:spacing w:val="-13"/>
                          <w:w w:val="110"/>
                          <w:sz w:val="28"/>
                        </w:rPr>
                        <w:t> </w:t>
                      </w:r>
                      <w:r>
                        <w:rPr>
                          <w:b/>
                          <w:color w:val="FFFFFF"/>
                          <w:spacing w:val="-2"/>
                          <w:w w:val="110"/>
                          <w:sz w:val="28"/>
                        </w:rPr>
                        <w:t>focus</w:t>
                      </w:r>
                      <w:r>
                        <w:rPr>
                          <w:b/>
                          <w:color w:val="FFFFFF"/>
                          <w:spacing w:val="-13"/>
                          <w:w w:val="110"/>
                          <w:sz w:val="28"/>
                        </w:rPr>
                        <w:t> </w:t>
                      </w:r>
                      <w:r>
                        <w:rPr>
                          <w:b/>
                          <w:color w:val="FFFFFF"/>
                          <w:spacing w:val="-2"/>
                          <w:w w:val="110"/>
                          <w:sz w:val="28"/>
                        </w:rPr>
                        <w:t>on</w:t>
                      </w:r>
                      <w:r>
                        <w:rPr>
                          <w:b/>
                          <w:color w:val="FFFFFF"/>
                          <w:spacing w:val="-13"/>
                          <w:w w:val="110"/>
                          <w:sz w:val="28"/>
                        </w:rPr>
                        <w:t> </w:t>
                      </w:r>
                      <w:r>
                        <w:rPr>
                          <w:b/>
                          <w:color w:val="FFFFFF"/>
                          <w:spacing w:val="-2"/>
                          <w:w w:val="110"/>
                          <w:sz w:val="28"/>
                        </w:rPr>
                        <w:t>SMSF</w:t>
                      </w:r>
                      <w:r>
                        <w:rPr>
                          <w:b/>
                          <w:color w:val="FFFFFF"/>
                          <w:spacing w:val="-13"/>
                          <w:w w:val="110"/>
                          <w:sz w:val="28"/>
                        </w:rPr>
                        <w:t> </w:t>
                      </w:r>
                      <w:r>
                        <w:rPr>
                          <w:b/>
                          <w:color w:val="FFFFFF"/>
                          <w:spacing w:val="-2"/>
                          <w:w w:val="110"/>
                          <w:sz w:val="28"/>
                        </w:rPr>
                        <w:t>asset </w:t>
                      </w:r>
                      <w:r>
                        <w:rPr>
                          <w:b/>
                          <w:color w:val="FFFFFF"/>
                          <w:w w:val="110"/>
                          <w:sz w:val="28"/>
                        </w:rPr>
                        <w:t>valuations as the new tax on super balances over $3 million begins</w:t>
                      </w:r>
                    </w:p>
                  </w:txbxContent>
                </v:textbox>
                <v:fill type="solid"/>
                <w10:wrap type="topAndBottom"/>
              </v:shape>
            </w:pict>
          </mc:Fallback>
        </mc:AlternateContent>
      </w:r>
    </w:p>
    <w:p>
      <w:pPr>
        <w:spacing w:line="235" w:lineRule="auto" w:before="192"/>
        <w:ind w:left="140" w:right="38" w:firstLine="0"/>
        <w:jc w:val="both"/>
        <w:rPr>
          <w:b/>
          <w:sz w:val="20"/>
        </w:rPr>
      </w:pPr>
      <w:r>
        <w:rPr>
          <w:color w:val="231F20"/>
          <w:sz w:val="20"/>
        </w:rPr>
        <w:t>As an SMSF trustee, you should know that the ATO is increasing its focus on SMSF asset valuations, as the new </w:t>
      </w:r>
      <w:r>
        <w:rPr>
          <w:b/>
          <w:color w:val="231F20"/>
          <w:sz w:val="20"/>
        </w:rPr>
        <w:t>Division 296 tax on large super balances.</w:t>
      </w:r>
    </w:p>
    <w:p>
      <w:pPr>
        <w:spacing w:line="235" w:lineRule="auto" w:before="242"/>
        <w:ind w:left="140" w:right="39" w:firstLine="0"/>
        <w:jc w:val="both"/>
        <w:rPr>
          <w:sz w:val="20"/>
        </w:rPr>
      </w:pPr>
      <w:r>
        <w:rPr>
          <w:b/>
          <w:color w:val="231F20"/>
          <w:sz w:val="20"/>
        </w:rPr>
        <w:t>What</w:t>
      </w:r>
      <w:r>
        <w:rPr>
          <w:b/>
          <w:color w:val="231F20"/>
          <w:spacing w:val="-9"/>
          <w:sz w:val="20"/>
        </w:rPr>
        <w:t> </w:t>
      </w:r>
      <w:r>
        <w:rPr>
          <w:b/>
          <w:color w:val="231F20"/>
          <w:sz w:val="20"/>
        </w:rPr>
        <w:t>is</w:t>
      </w:r>
      <w:r>
        <w:rPr>
          <w:b/>
          <w:color w:val="231F20"/>
          <w:spacing w:val="-9"/>
          <w:sz w:val="20"/>
        </w:rPr>
        <w:t> </w:t>
      </w:r>
      <w:r>
        <w:rPr>
          <w:b/>
          <w:color w:val="231F20"/>
          <w:sz w:val="20"/>
        </w:rPr>
        <w:t>Division</w:t>
      </w:r>
      <w:r>
        <w:rPr>
          <w:b/>
          <w:color w:val="231F20"/>
          <w:spacing w:val="-10"/>
          <w:sz w:val="20"/>
        </w:rPr>
        <w:t> </w:t>
      </w:r>
      <w:r>
        <w:rPr>
          <w:b/>
          <w:color w:val="231F20"/>
          <w:sz w:val="20"/>
        </w:rPr>
        <w:t>296,</w:t>
      </w:r>
      <w:r>
        <w:rPr>
          <w:b/>
          <w:color w:val="231F20"/>
          <w:spacing w:val="-9"/>
          <w:sz w:val="20"/>
        </w:rPr>
        <w:t> </w:t>
      </w:r>
      <w:r>
        <w:rPr>
          <w:b/>
          <w:color w:val="231F20"/>
          <w:sz w:val="20"/>
        </w:rPr>
        <w:t>in</w:t>
      </w:r>
      <w:r>
        <w:rPr>
          <w:b/>
          <w:color w:val="231F20"/>
          <w:spacing w:val="-10"/>
          <w:sz w:val="20"/>
        </w:rPr>
        <w:t> </w:t>
      </w:r>
      <w:r>
        <w:rPr>
          <w:b/>
          <w:color w:val="231F20"/>
          <w:sz w:val="20"/>
        </w:rPr>
        <w:t>simple</w:t>
      </w:r>
      <w:r>
        <w:rPr>
          <w:b/>
          <w:color w:val="231F20"/>
          <w:spacing w:val="-10"/>
          <w:sz w:val="20"/>
        </w:rPr>
        <w:t> </w:t>
      </w:r>
      <w:r>
        <w:rPr>
          <w:b/>
          <w:color w:val="231F20"/>
          <w:sz w:val="20"/>
        </w:rPr>
        <w:t>terms?</w:t>
      </w:r>
      <w:r>
        <w:rPr>
          <w:b/>
          <w:color w:val="231F20"/>
          <w:spacing w:val="-9"/>
          <w:sz w:val="20"/>
        </w:rPr>
        <w:t> </w:t>
      </w:r>
      <w:r>
        <w:rPr>
          <w:color w:val="231F20"/>
          <w:sz w:val="20"/>
        </w:rPr>
        <w:t>It</w:t>
      </w:r>
      <w:r>
        <w:rPr>
          <w:color w:val="231F20"/>
          <w:spacing w:val="-9"/>
          <w:sz w:val="20"/>
        </w:rPr>
        <w:t> </w:t>
      </w:r>
      <w:r>
        <w:rPr>
          <w:color w:val="231F20"/>
          <w:sz w:val="20"/>
        </w:rPr>
        <w:t>is</w:t>
      </w:r>
      <w:r>
        <w:rPr>
          <w:color w:val="231F20"/>
          <w:spacing w:val="-9"/>
          <w:sz w:val="20"/>
        </w:rPr>
        <w:t> </w:t>
      </w:r>
      <w:r>
        <w:rPr>
          <w:color w:val="231F20"/>
          <w:sz w:val="20"/>
        </w:rPr>
        <w:t>not</w:t>
      </w:r>
      <w:r>
        <w:rPr>
          <w:color w:val="231F20"/>
          <w:spacing w:val="-9"/>
          <w:sz w:val="20"/>
        </w:rPr>
        <w:t> </w:t>
      </w:r>
      <w:r>
        <w:rPr>
          <w:color w:val="231F20"/>
          <w:sz w:val="20"/>
        </w:rPr>
        <w:t>a</w:t>
      </w:r>
      <w:r>
        <w:rPr>
          <w:color w:val="231F20"/>
          <w:spacing w:val="-9"/>
          <w:sz w:val="20"/>
        </w:rPr>
        <w:t> </w:t>
      </w:r>
      <w:r>
        <w:rPr>
          <w:color w:val="231F20"/>
          <w:sz w:val="20"/>
        </w:rPr>
        <w:t>cap.</w:t>
      </w:r>
      <w:r>
        <w:rPr>
          <w:color w:val="231F20"/>
          <w:spacing w:val="-9"/>
          <w:sz w:val="20"/>
        </w:rPr>
        <w:t> </w:t>
      </w:r>
      <w:r>
        <w:rPr>
          <w:color w:val="231F20"/>
          <w:sz w:val="20"/>
        </w:rPr>
        <w:t>There</w:t>
      </w:r>
      <w:r>
        <w:rPr>
          <w:color w:val="231F20"/>
          <w:spacing w:val="-9"/>
          <w:sz w:val="20"/>
        </w:rPr>
        <w:t> </w:t>
      </w:r>
      <w:r>
        <w:rPr>
          <w:color w:val="231F20"/>
          <w:sz w:val="20"/>
        </w:rPr>
        <w:t>is no limit on how much you can hold in super. Instead, if your total</w:t>
      </w:r>
      <w:r>
        <w:rPr>
          <w:color w:val="231F20"/>
          <w:spacing w:val="-4"/>
          <w:sz w:val="20"/>
        </w:rPr>
        <w:t> </w:t>
      </w:r>
      <w:r>
        <w:rPr>
          <w:color w:val="231F20"/>
          <w:sz w:val="20"/>
        </w:rPr>
        <w:t>super</w:t>
      </w:r>
      <w:r>
        <w:rPr>
          <w:color w:val="231F20"/>
          <w:spacing w:val="-2"/>
          <w:sz w:val="20"/>
        </w:rPr>
        <w:t> </w:t>
      </w:r>
      <w:r>
        <w:rPr>
          <w:color w:val="231F20"/>
          <w:sz w:val="20"/>
        </w:rPr>
        <w:t>balance</w:t>
      </w:r>
      <w:r>
        <w:rPr>
          <w:color w:val="231F20"/>
          <w:spacing w:val="-2"/>
          <w:sz w:val="20"/>
        </w:rPr>
        <w:t> </w:t>
      </w:r>
      <w:r>
        <w:rPr>
          <w:color w:val="231F20"/>
          <w:sz w:val="20"/>
        </w:rPr>
        <w:t>(across</w:t>
      </w:r>
      <w:r>
        <w:rPr>
          <w:color w:val="231F20"/>
          <w:spacing w:val="-4"/>
          <w:sz w:val="20"/>
        </w:rPr>
        <w:t> </w:t>
      </w:r>
      <w:r>
        <w:rPr>
          <w:color w:val="231F20"/>
          <w:sz w:val="20"/>
        </w:rPr>
        <w:t>all</w:t>
      </w:r>
      <w:r>
        <w:rPr>
          <w:color w:val="231F20"/>
          <w:spacing w:val="-3"/>
          <w:sz w:val="20"/>
        </w:rPr>
        <w:t> </w:t>
      </w:r>
      <w:r>
        <w:rPr>
          <w:color w:val="231F20"/>
          <w:sz w:val="20"/>
        </w:rPr>
        <w:t>your</w:t>
      </w:r>
      <w:r>
        <w:rPr>
          <w:color w:val="231F20"/>
          <w:spacing w:val="-2"/>
          <w:sz w:val="20"/>
        </w:rPr>
        <w:t> </w:t>
      </w:r>
      <w:r>
        <w:rPr>
          <w:color w:val="231F20"/>
          <w:sz w:val="20"/>
        </w:rPr>
        <w:t>super</w:t>
      </w:r>
      <w:r>
        <w:rPr>
          <w:color w:val="231F20"/>
          <w:spacing w:val="-3"/>
          <w:sz w:val="20"/>
        </w:rPr>
        <w:t> </w:t>
      </w:r>
      <w:r>
        <w:rPr>
          <w:color w:val="231F20"/>
          <w:sz w:val="20"/>
        </w:rPr>
        <w:t>funds)</w:t>
      </w:r>
      <w:r>
        <w:rPr>
          <w:color w:val="231F20"/>
          <w:spacing w:val="-3"/>
          <w:sz w:val="20"/>
        </w:rPr>
        <w:t> </w:t>
      </w:r>
      <w:r>
        <w:rPr>
          <w:color w:val="231F20"/>
          <w:sz w:val="20"/>
        </w:rPr>
        <w:t>is</w:t>
      </w:r>
      <w:r>
        <w:rPr>
          <w:color w:val="231F20"/>
          <w:spacing w:val="-3"/>
          <w:sz w:val="20"/>
        </w:rPr>
        <w:t> </w:t>
      </w:r>
      <w:r>
        <w:rPr>
          <w:color w:val="231F20"/>
          <w:sz w:val="20"/>
        </w:rPr>
        <w:t>more</w:t>
      </w:r>
      <w:r>
        <w:rPr>
          <w:color w:val="231F20"/>
          <w:spacing w:val="-2"/>
          <w:sz w:val="20"/>
        </w:rPr>
        <w:t> </w:t>
      </w:r>
      <w:r>
        <w:rPr>
          <w:color w:val="231F20"/>
          <w:spacing w:val="-4"/>
          <w:sz w:val="20"/>
        </w:rPr>
        <w:t>than</w:t>
      </w:r>
    </w:p>
    <w:p>
      <w:pPr>
        <w:pStyle w:val="BodyText"/>
        <w:spacing w:line="235" w:lineRule="auto" w:before="2"/>
        <w:ind w:left="140" w:right="38"/>
        <w:jc w:val="both"/>
      </w:pPr>
      <w:r>
        <w:rPr>
          <w:color w:val="231F20"/>
        </w:rPr>
        <w:t>$3 million, an extra 15% tax applies to the share of your earnings that relates to the part of your balance above $3 million. If your balance is more than $10 million, a further 10% applies to the share above $10 million.</w:t>
      </w:r>
    </w:p>
    <w:p>
      <w:pPr>
        <w:pStyle w:val="BodyText"/>
      </w:pPr>
    </w:p>
    <w:p>
      <w:pPr>
        <w:pStyle w:val="BodyText"/>
        <w:spacing w:before="33"/>
      </w:pPr>
      <w:r>
        <w:rPr/>
        <w:drawing>
          <wp:anchor distT="0" distB="0" distL="0" distR="0" allowOverlap="1" layoutInCell="1" locked="0" behindDoc="1" simplePos="0" relativeHeight="487588864">
            <wp:simplePos x="0" y="0"/>
            <wp:positionH relativeFrom="page">
              <wp:posOffset>597476</wp:posOffset>
            </wp:positionH>
            <wp:positionV relativeFrom="paragraph">
              <wp:posOffset>191852</wp:posOffset>
            </wp:positionV>
            <wp:extent cx="2857147" cy="2139696"/>
            <wp:effectExtent l="0" t="0" r="0" b="0"/>
            <wp:wrapTopAndBottom/>
            <wp:docPr id="7" name="Image 7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7" name="Image 7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857147" cy="213969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spacing w:before="104"/>
      </w:pPr>
    </w:p>
    <w:p>
      <w:pPr>
        <w:spacing w:line="235" w:lineRule="auto" w:before="0"/>
        <w:ind w:left="190" w:right="100" w:firstLine="0"/>
        <w:jc w:val="both"/>
        <w:rPr>
          <w:sz w:val="20"/>
        </w:rPr>
      </w:pPr>
      <w:r>
        <w:rPr>
          <w:b/>
          <w:color w:val="231F20"/>
          <w:sz w:val="20"/>
        </w:rPr>
        <w:t>Why valuations matter: </w:t>
      </w:r>
      <w:r>
        <w:rPr>
          <w:color w:val="231F20"/>
          <w:sz w:val="20"/>
        </w:rPr>
        <w:t>Your total super balance depends on the market value of your fund’s assets. For</w:t>
      </w:r>
    </w:p>
    <w:p>
      <w:pPr>
        <w:pStyle w:val="BodyText"/>
        <w:spacing w:line="235" w:lineRule="auto" w:before="64"/>
        <w:ind w:left="134" w:right="132"/>
        <w:jc w:val="both"/>
      </w:pPr>
      <w:r>
        <w:rPr/>
        <w:br w:type="column"/>
      </w:r>
      <w:r>
        <w:rPr>
          <w:color w:val="231F20"/>
          <w:spacing w:val="-2"/>
        </w:rPr>
        <w:t>2026–27,</w:t>
      </w:r>
      <w:r>
        <w:rPr>
          <w:color w:val="231F20"/>
          <w:spacing w:val="-7"/>
        </w:rPr>
        <w:t> </w:t>
      </w:r>
      <w:r>
        <w:rPr>
          <w:color w:val="231F20"/>
          <w:spacing w:val="-2"/>
        </w:rPr>
        <w:t>the</w:t>
      </w:r>
      <w:r>
        <w:rPr>
          <w:color w:val="231F20"/>
          <w:spacing w:val="-6"/>
        </w:rPr>
        <w:t> </w:t>
      </w:r>
      <w:r>
        <w:rPr>
          <w:color w:val="231F20"/>
          <w:spacing w:val="-2"/>
        </w:rPr>
        <w:t>ATO</w:t>
      </w:r>
      <w:r>
        <w:rPr>
          <w:color w:val="231F20"/>
          <w:spacing w:val="-6"/>
        </w:rPr>
        <w:t> </w:t>
      </w:r>
      <w:r>
        <w:rPr>
          <w:color w:val="231F20"/>
          <w:spacing w:val="-2"/>
        </w:rPr>
        <w:t>uses</w:t>
      </w:r>
      <w:r>
        <w:rPr>
          <w:color w:val="231F20"/>
          <w:spacing w:val="-6"/>
        </w:rPr>
        <w:t> </w:t>
      </w:r>
      <w:r>
        <w:rPr>
          <w:color w:val="231F20"/>
          <w:spacing w:val="-2"/>
        </w:rPr>
        <w:t>your</w:t>
      </w:r>
      <w:r>
        <w:rPr>
          <w:color w:val="231F20"/>
          <w:spacing w:val="-6"/>
        </w:rPr>
        <w:t> </w:t>
      </w:r>
      <w:r>
        <w:rPr>
          <w:color w:val="231F20"/>
          <w:spacing w:val="-2"/>
        </w:rPr>
        <w:t>balance</w:t>
      </w:r>
      <w:r>
        <w:rPr>
          <w:color w:val="231F20"/>
          <w:spacing w:val="-6"/>
        </w:rPr>
        <w:t> </w:t>
      </w:r>
      <w:r>
        <w:rPr>
          <w:color w:val="231F20"/>
          <w:spacing w:val="-2"/>
        </w:rPr>
        <w:t>at</w:t>
      </w:r>
      <w:r>
        <w:rPr>
          <w:color w:val="231F20"/>
          <w:spacing w:val="-6"/>
        </w:rPr>
        <w:t> </w:t>
      </w:r>
      <w:r>
        <w:rPr>
          <w:color w:val="231F20"/>
          <w:spacing w:val="-2"/>
        </w:rPr>
        <w:t>the</w:t>
      </w:r>
      <w:r>
        <w:rPr>
          <w:color w:val="231F20"/>
          <w:spacing w:val="-6"/>
        </w:rPr>
        <w:t> </w:t>
      </w:r>
      <w:r>
        <w:rPr>
          <w:color w:val="231F20"/>
          <w:spacing w:val="-2"/>
        </w:rPr>
        <w:t>end</w:t>
      </w:r>
      <w:r>
        <w:rPr>
          <w:color w:val="231F20"/>
          <w:spacing w:val="-6"/>
        </w:rPr>
        <w:t> </w:t>
      </w:r>
      <w:r>
        <w:rPr>
          <w:color w:val="231F20"/>
          <w:spacing w:val="-2"/>
        </w:rPr>
        <w:t>of</w:t>
      </w:r>
      <w:r>
        <w:rPr>
          <w:color w:val="231F20"/>
          <w:spacing w:val="-6"/>
        </w:rPr>
        <w:t> </w:t>
      </w:r>
      <w:r>
        <w:rPr>
          <w:color w:val="231F20"/>
          <w:spacing w:val="-2"/>
        </w:rPr>
        <w:t>the</w:t>
      </w:r>
      <w:r>
        <w:rPr>
          <w:color w:val="231F20"/>
          <w:spacing w:val="-6"/>
        </w:rPr>
        <w:t> </w:t>
      </w:r>
      <w:r>
        <w:rPr>
          <w:color w:val="231F20"/>
          <w:spacing w:val="-2"/>
        </w:rPr>
        <w:t>year</w:t>
      </w:r>
      <w:r>
        <w:rPr>
          <w:color w:val="231F20"/>
          <w:spacing w:val="-7"/>
        </w:rPr>
        <w:t> </w:t>
      </w:r>
      <w:r>
        <w:rPr>
          <w:color w:val="231F20"/>
          <w:spacing w:val="-2"/>
        </w:rPr>
        <w:t>(30 </w:t>
      </w:r>
      <w:r>
        <w:rPr>
          <w:color w:val="231F20"/>
        </w:rPr>
        <w:t>June 2027) to decide whether the extra tax applies or not. If an asset such as a property is valued too low, your balance could be wrong, and so could your tax.</w:t>
      </w:r>
    </w:p>
    <w:p>
      <w:pPr>
        <w:spacing w:line="235" w:lineRule="auto" w:before="243"/>
        <w:ind w:left="134" w:right="133" w:firstLine="0"/>
        <w:jc w:val="both"/>
        <w:rPr>
          <w:sz w:val="20"/>
        </w:rPr>
      </w:pPr>
      <w:r>
        <w:rPr>
          <w:color w:val="231F20"/>
          <w:sz w:val="20"/>
        </w:rPr>
        <w:t>Under </w:t>
      </w:r>
      <w:r>
        <w:rPr>
          <w:b/>
          <w:color w:val="231F20"/>
          <w:sz w:val="20"/>
        </w:rPr>
        <w:t>Regulation 8.02B of the Superannuation Industry (Supervision) Regulations 1994 (SISR)</w:t>
      </w:r>
      <w:r>
        <w:rPr>
          <w:color w:val="231F20"/>
          <w:sz w:val="20"/>
        </w:rPr>
        <w:t>, SMSF assets must be valued at market value when preparing the fund’s financial </w:t>
      </w:r>
      <w:r>
        <w:rPr>
          <w:color w:val="231F20"/>
          <w:spacing w:val="-2"/>
          <w:sz w:val="20"/>
        </w:rPr>
        <w:t>statements.</w:t>
      </w:r>
    </w:p>
    <w:p>
      <w:pPr>
        <w:spacing w:line="235" w:lineRule="auto" w:before="243"/>
        <w:ind w:left="134" w:right="132" w:firstLine="0"/>
        <w:jc w:val="both"/>
        <w:rPr>
          <w:sz w:val="20"/>
        </w:rPr>
      </w:pPr>
      <w:r>
        <w:rPr>
          <w:b/>
          <w:color w:val="231F20"/>
          <w:sz w:val="20"/>
        </w:rPr>
        <w:t>The ATO is also watching SMSF auditors closely. During 2025–26, it completed close to 200 reviews and audits of SMSF auditors and referred 39 auditors </w:t>
      </w:r>
      <w:r>
        <w:rPr>
          <w:color w:val="231F20"/>
          <w:sz w:val="20"/>
        </w:rPr>
        <w:t>to the Australian Securities</w:t>
      </w:r>
      <w:r>
        <w:rPr>
          <w:color w:val="231F20"/>
          <w:spacing w:val="-1"/>
          <w:sz w:val="20"/>
        </w:rPr>
        <w:t> </w:t>
      </w:r>
      <w:r>
        <w:rPr>
          <w:color w:val="231F20"/>
          <w:sz w:val="20"/>
        </w:rPr>
        <w:t>and</w:t>
      </w:r>
      <w:r>
        <w:rPr>
          <w:color w:val="231F20"/>
          <w:spacing w:val="-1"/>
          <w:sz w:val="20"/>
        </w:rPr>
        <w:t> </w:t>
      </w:r>
      <w:r>
        <w:rPr>
          <w:color w:val="231F20"/>
          <w:sz w:val="20"/>
        </w:rPr>
        <w:t>Investments</w:t>
      </w:r>
      <w:r>
        <w:rPr>
          <w:color w:val="231F20"/>
          <w:spacing w:val="-1"/>
          <w:sz w:val="20"/>
        </w:rPr>
        <w:t> </w:t>
      </w:r>
      <w:r>
        <w:rPr>
          <w:color w:val="231F20"/>
          <w:sz w:val="20"/>
        </w:rPr>
        <w:t>Commission</w:t>
      </w:r>
      <w:r>
        <w:rPr>
          <w:color w:val="231F20"/>
          <w:spacing w:val="-1"/>
          <w:sz w:val="20"/>
        </w:rPr>
        <w:t> </w:t>
      </w:r>
      <w:r>
        <w:rPr>
          <w:color w:val="231F20"/>
          <w:sz w:val="20"/>
        </w:rPr>
        <w:t>(ASIC).</w:t>
      </w:r>
      <w:r>
        <w:rPr>
          <w:color w:val="231F20"/>
          <w:spacing w:val="-1"/>
          <w:sz w:val="20"/>
        </w:rPr>
        <w:t> </w:t>
      </w:r>
      <w:r>
        <w:rPr>
          <w:color w:val="231F20"/>
          <w:sz w:val="20"/>
        </w:rPr>
        <w:t>For</w:t>
      </w:r>
      <w:r>
        <w:rPr>
          <w:color w:val="231F20"/>
          <w:spacing w:val="-1"/>
          <w:sz w:val="20"/>
        </w:rPr>
        <w:t> </w:t>
      </w:r>
      <w:r>
        <w:rPr>
          <w:color w:val="231F20"/>
          <w:sz w:val="20"/>
        </w:rPr>
        <w:t>2026–27, expect your auditor to ask for stronger valuation evidence this year.</w:t>
      </w:r>
    </w:p>
    <w:p>
      <w:pPr>
        <w:pStyle w:val="BodyText"/>
        <w:spacing w:before="5"/>
        <w:rPr>
          <w:sz w:val="15"/>
        </w:rPr>
      </w:pPr>
      <w:r>
        <w:rPr>
          <w:sz w:val="15"/>
        </w:rPr>
        <mc:AlternateContent>
          <mc:Choice Requires="wps">
            <w:drawing>
              <wp:anchor distT="0" distB="0" distL="0" distR="0" allowOverlap="1" layoutInCell="1" locked="0" behindDoc="1" simplePos="0" relativeHeight="487589376">
                <wp:simplePos x="0" y="0"/>
                <wp:positionH relativeFrom="page">
                  <wp:posOffset>3975188</wp:posOffset>
                </wp:positionH>
                <wp:positionV relativeFrom="paragraph">
                  <wp:posOffset>134904</wp:posOffset>
                </wp:positionV>
                <wp:extent cx="3141345" cy="556895"/>
                <wp:effectExtent l="0" t="0" r="0" b="0"/>
                <wp:wrapTopAndBottom/>
                <wp:docPr id="8" name="Textbox 8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8" name="Textbox 8"/>
                      <wps:cNvSpPr txBox="1"/>
                      <wps:spPr>
                        <a:xfrm>
                          <a:off x="0" y="0"/>
                          <a:ext cx="3141345" cy="556895"/>
                        </a:xfrm>
                        <a:prstGeom prst="rect">
                          <a:avLst/>
                        </a:prstGeom>
                        <a:solidFill>
                          <a:srgbClr val="27AAE2">
                            <a:alpha val="18998"/>
                          </a:srgbClr>
                        </a:solidFill>
                      </wps:spPr>
                      <wps:txbx>
                        <w:txbxContent>
                          <w:p>
                            <w:pPr>
                              <w:pStyle w:val="BodyText"/>
                              <w:spacing w:line="254" w:lineRule="auto" w:before="2"/>
                              <w:ind w:left="-4" w:right="-15"/>
                              <w:jc w:val="both"/>
                              <w:rPr>
                                <w:color w:val="000000"/>
                              </w:rPr>
                            </w:pPr>
                            <w:r>
                              <w:rPr>
                                <w:b/>
                                <w:color w:val="231F20"/>
                              </w:rPr>
                              <w:t>How we can help: </w:t>
                            </w:r>
                            <w:r>
                              <w:rPr>
                                <w:color w:val="231F20"/>
                              </w:rPr>
                              <w:t>Our office can assist you with obtaining appropriate valuations and supporting documentation to help ensure your SMSF assets are valued at market value.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313.006989pt;margin-top:10.622437pt;width:247.35pt;height:43.85pt;mso-position-horizontal-relative:page;mso-position-vertical-relative:paragraph;z-index:-15727104;mso-wrap-distance-left:0;mso-wrap-distance-right:0" type="#_x0000_t202" id="docshape7" filled="true" fillcolor="#27aae2" stroked="false">
                <v:textbox inset="0,0,0,0">
                  <w:txbxContent>
                    <w:p>
                      <w:pPr>
                        <w:pStyle w:val="BodyText"/>
                        <w:spacing w:line="254" w:lineRule="auto" w:before="2"/>
                        <w:ind w:left="-4" w:right="-15"/>
                        <w:jc w:val="both"/>
                        <w:rPr>
                          <w:color w:val="000000"/>
                        </w:rPr>
                      </w:pPr>
                      <w:r>
                        <w:rPr>
                          <w:b/>
                          <w:color w:val="231F20"/>
                        </w:rPr>
                        <w:t>How we can help: </w:t>
                      </w:r>
                      <w:r>
                        <w:rPr>
                          <w:color w:val="231F20"/>
                        </w:rPr>
                        <w:t>Our office can assist you with obtaining appropriate valuations and supporting documentation to help ensure your SMSF assets are valued at market value.</w:t>
                      </w:r>
                    </w:p>
                  </w:txbxContent>
                </v:textbox>
                <v:fill opacity="12451f" type="solid"/>
                <w10:wrap type="topAndBottom"/>
              </v:shape>
            </w:pict>
          </mc:Fallback>
        </mc:AlternateContent>
      </w:r>
      <w:r>
        <w:rPr>
          <w:sz w:val="15"/>
        </w:rPr>
        <mc:AlternateContent>
          <mc:Choice Requires="wps">
            <w:drawing>
              <wp:anchor distT="0" distB="0" distL="0" distR="0" allowOverlap="1" layoutInCell="1" locked="0" behindDoc="1" simplePos="0" relativeHeight="487589888">
                <wp:simplePos x="0" y="0"/>
                <wp:positionH relativeFrom="page">
                  <wp:posOffset>3972979</wp:posOffset>
                </wp:positionH>
                <wp:positionV relativeFrom="paragraph">
                  <wp:posOffset>737138</wp:posOffset>
                </wp:positionV>
                <wp:extent cx="3143250" cy="381000"/>
                <wp:effectExtent l="0" t="0" r="0" b="0"/>
                <wp:wrapTopAndBottom/>
                <wp:docPr id="9" name="Textbox 9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9" name="Textbox 9"/>
                      <wps:cNvSpPr txBox="1"/>
                      <wps:spPr>
                        <a:xfrm>
                          <a:off x="0" y="0"/>
                          <a:ext cx="3143250" cy="381000"/>
                        </a:xfrm>
                        <a:prstGeom prst="rect">
                          <a:avLst/>
                        </a:prstGeom>
                        <a:solidFill>
                          <a:srgbClr val="019BD7"/>
                        </a:solidFill>
                      </wps:spPr>
                      <wps:txbx>
                        <w:txbxContent>
                          <w:p>
                            <w:pPr>
                              <w:spacing w:before="83"/>
                              <w:ind w:left="49" w:right="0" w:firstLine="0"/>
                              <w:jc w:val="left"/>
                              <w:rPr>
                                <w:b/>
                                <w:color w:val="000000"/>
                                <w:sz w:val="28"/>
                              </w:rPr>
                            </w:pPr>
                            <w:r>
                              <w:rPr>
                                <w:b/>
                                <w:color w:val="FFFFFF"/>
                                <w:sz w:val="28"/>
                              </w:rPr>
                              <w:t>SMSF</w:t>
                            </w:r>
                            <w:r>
                              <w:rPr>
                                <w:b/>
                                <w:color w:val="FFFFFF"/>
                                <w:spacing w:val="-7"/>
                                <w:sz w:val="28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FFFFFF"/>
                                <w:sz w:val="28"/>
                              </w:rPr>
                              <w:t>establishment</w:t>
                            </w:r>
                            <w:r>
                              <w:rPr>
                                <w:b/>
                                <w:color w:val="FFFFFF"/>
                                <w:spacing w:val="-5"/>
                                <w:sz w:val="28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FFFFFF"/>
                                <w:sz w:val="28"/>
                              </w:rPr>
                              <w:t>costs</w:t>
                            </w:r>
                            <w:r>
                              <w:rPr>
                                <w:b/>
                                <w:color w:val="FFFFFF"/>
                                <w:spacing w:val="-6"/>
                                <w:sz w:val="28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FFFFFF"/>
                                <w:sz w:val="28"/>
                              </w:rPr>
                              <w:t>clarified</w:t>
                            </w:r>
                            <w:r>
                              <w:rPr>
                                <w:b/>
                                <w:color w:val="FFFFFF"/>
                                <w:spacing w:val="-5"/>
                                <w:sz w:val="28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FFFFFF"/>
                                <w:sz w:val="28"/>
                              </w:rPr>
                              <w:t>by</w:t>
                            </w:r>
                            <w:r>
                              <w:rPr>
                                <w:b/>
                                <w:color w:val="FFFFFF"/>
                                <w:spacing w:val="-6"/>
                                <w:sz w:val="28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FFFFFF"/>
                                <w:spacing w:val="-5"/>
                                <w:sz w:val="28"/>
                              </w:rPr>
                              <w:t>ATO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312.833008pt;margin-top:58.042439pt;width:247.5pt;height:30pt;mso-position-horizontal-relative:page;mso-position-vertical-relative:paragraph;z-index:-15726592;mso-wrap-distance-left:0;mso-wrap-distance-right:0" type="#_x0000_t202" id="docshape8" filled="true" fillcolor="#019bd7" stroked="false">
                <v:textbox inset="0,0,0,0">
                  <w:txbxContent>
                    <w:p>
                      <w:pPr>
                        <w:spacing w:before="83"/>
                        <w:ind w:left="49" w:right="0" w:firstLine="0"/>
                        <w:jc w:val="left"/>
                        <w:rPr>
                          <w:b/>
                          <w:color w:val="000000"/>
                          <w:sz w:val="28"/>
                        </w:rPr>
                      </w:pPr>
                      <w:r>
                        <w:rPr>
                          <w:b/>
                          <w:color w:val="FFFFFF"/>
                          <w:sz w:val="28"/>
                        </w:rPr>
                        <w:t>SMSF</w:t>
                      </w:r>
                      <w:r>
                        <w:rPr>
                          <w:b/>
                          <w:color w:val="FFFFFF"/>
                          <w:spacing w:val="-7"/>
                          <w:sz w:val="28"/>
                        </w:rPr>
                        <w:t> </w:t>
                      </w:r>
                      <w:r>
                        <w:rPr>
                          <w:b/>
                          <w:color w:val="FFFFFF"/>
                          <w:sz w:val="28"/>
                        </w:rPr>
                        <w:t>establishment</w:t>
                      </w:r>
                      <w:r>
                        <w:rPr>
                          <w:b/>
                          <w:color w:val="FFFFFF"/>
                          <w:spacing w:val="-5"/>
                          <w:sz w:val="28"/>
                        </w:rPr>
                        <w:t> </w:t>
                      </w:r>
                      <w:r>
                        <w:rPr>
                          <w:b/>
                          <w:color w:val="FFFFFF"/>
                          <w:sz w:val="28"/>
                        </w:rPr>
                        <w:t>costs</w:t>
                      </w:r>
                      <w:r>
                        <w:rPr>
                          <w:b/>
                          <w:color w:val="FFFFFF"/>
                          <w:spacing w:val="-6"/>
                          <w:sz w:val="28"/>
                        </w:rPr>
                        <w:t> </w:t>
                      </w:r>
                      <w:r>
                        <w:rPr>
                          <w:b/>
                          <w:color w:val="FFFFFF"/>
                          <w:sz w:val="28"/>
                        </w:rPr>
                        <w:t>clarified</w:t>
                      </w:r>
                      <w:r>
                        <w:rPr>
                          <w:b/>
                          <w:color w:val="FFFFFF"/>
                          <w:spacing w:val="-5"/>
                          <w:sz w:val="28"/>
                        </w:rPr>
                        <w:t> </w:t>
                      </w:r>
                      <w:r>
                        <w:rPr>
                          <w:b/>
                          <w:color w:val="FFFFFF"/>
                          <w:sz w:val="28"/>
                        </w:rPr>
                        <w:t>by</w:t>
                      </w:r>
                      <w:r>
                        <w:rPr>
                          <w:b/>
                          <w:color w:val="FFFFFF"/>
                          <w:spacing w:val="-6"/>
                          <w:sz w:val="28"/>
                        </w:rPr>
                        <w:t> </w:t>
                      </w:r>
                      <w:r>
                        <w:rPr>
                          <w:b/>
                          <w:color w:val="FFFFFF"/>
                          <w:spacing w:val="-5"/>
                          <w:sz w:val="28"/>
                        </w:rPr>
                        <w:t>ATO</w:t>
                      </w:r>
                    </w:p>
                  </w:txbxContent>
                </v:textbox>
                <v:fill type="solid"/>
                <w10:wrap type="topAndBottom"/>
              </v:shape>
            </w:pict>
          </mc:Fallback>
        </mc:AlternateContent>
      </w:r>
    </w:p>
    <w:p>
      <w:pPr>
        <w:pStyle w:val="BodyText"/>
        <w:spacing w:before="11"/>
        <w:rPr>
          <w:sz w:val="3"/>
        </w:rPr>
      </w:pPr>
    </w:p>
    <w:p>
      <w:pPr>
        <w:pStyle w:val="BodyText"/>
        <w:spacing w:line="235" w:lineRule="auto" w:before="127"/>
        <w:ind w:left="136" w:right="129"/>
        <w:jc w:val="both"/>
      </w:pPr>
      <w:r>
        <w:rPr>
          <w:color w:val="231F20"/>
        </w:rPr>
        <w:t>The general rules around SMSF establishment costs were already</w:t>
      </w:r>
      <w:r>
        <w:rPr>
          <w:color w:val="231F20"/>
          <w:spacing w:val="-2"/>
        </w:rPr>
        <w:t> </w:t>
      </w:r>
      <w:r>
        <w:rPr>
          <w:color w:val="231F20"/>
        </w:rPr>
        <w:t>in</w:t>
      </w:r>
      <w:r>
        <w:rPr>
          <w:color w:val="231F20"/>
          <w:spacing w:val="-2"/>
        </w:rPr>
        <w:t> </w:t>
      </w:r>
      <w:r>
        <w:rPr>
          <w:color w:val="231F20"/>
        </w:rPr>
        <w:t>place,</w:t>
      </w:r>
      <w:r>
        <w:rPr>
          <w:color w:val="231F20"/>
          <w:spacing w:val="-2"/>
        </w:rPr>
        <w:t> </w:t>
      </w:r>
      <w:r>
        <w:rPr>
          <w:color w:val="231F20"/>
        </w:rPr>
        <w:t>but</w:t>
      </w:r>
      <w:r>
        <w:rPr>
          <w:color w:val="231F20"/>
          <w:spacing w:val="-2"/>
        </w:rPr>
        <w:t> </w:t>
      </w:r>
      <w:r>
        <w:rPr>
          <w:color w:val="231F20"/>
        </w:rPr>
        <w:t>the</w:t>
      </w:r>
      <w:r>
        <w:rPr>
          <w:color w:val="231F20"/>
          <w:spacing w:val="-2"/>
        </w:rPr>
        <w:t> </w:t>
      </w:r>
      <w:r>
        <w:rPr>
          <w:color w:val="231F20"/>
        </w:rPr>
        <w:t>ATO</w:t>
      </w:r>
      <w:r>
        <w:rPr>
          <w:color w:val="231F20"/>
          <w:spacing w:val="-2"/>
        </w:rPr>
        <w:t> </w:t>
      </w:r>
      <w:r>
        <w:rPr>
          <w:color w:val="231F20"/>
        </w:rPr>
        <w:t>had</w:t>
      </w:r>
      <w:r>
        <w:rPr>
          <w:color w:val="231F20"/>
          <w:spacing w:val="-2"/>
        </w:rPr>
        <w:t> </w:t>
      </w:r>
      <w:r>
        <w:rPr>
          <w:color w:val="231F20"/>
        </w:rPr>
        <w:t>not</w:t>
      </w:r>
      <w:r>
        <w:rPr>
          <w:color w:val="231F20"/>
          <w:spacing w:val="-2"/>
        </w:rPr>
        <w:t> </w:t>
      </w:r>
      <w:r>
        <w:rPr>
          <w:color w:val="231F20"/>
        </w:rPr>
        <w:t>clearly</w:t>
      </w:r>
      <w:r>
        <w:rPr>
          <w:color w:val="231F20"/>
          <w:spacing w:val="-2"/>
        </w:rPr>
        <w:t> </w:t>
      </w:r>
      <w:r>
        <w:rPr>
          <w:color w:val="231F20"/>
        </w:rPr>
        <w:t>explained</w:t>
      </w:r>
      <w:r>
        <w:rPr>
          <w:color w:val="231F20"/>
          <w:spacing w:val="-2"/>
        </w:rPr>
        <w:t> </w:t>
      </w:r>
      <w:r>
        <w:rPr>
          <w:color w:val="231F20"/>
        </w:rPr>
        <w:t>on</w:t>
      </w:r>
      <w:r>
        <w:rPr>
          <w:color w:val="231F20"/>
          <w:spacing w:val="-2"/>
        </w:rPr>
        <w:t> </w:t>
      </w:r>
      <w:r>
        <w:rPr>
          <w:color w:val="231F20"/>
        </w:rPr>
        <w:t>its website how these establishment costs should be treated when a member/trustee pays personally. The updated guidance now makes this clearer:</w:t>
      </w:r>
    </w:p>
    <w:p>
      <w:pPr>
        <w:pStyle w:val="ListParagraph"/>
        <w:numPr>
          <w:ilvl w:val="0"/>
          <w:numId w:val="1"/>
        </w:numPr>
        <w:tabs>
          <w:tab w:pos="496" w:val="left" w:leader="none"/>
        </w:tabs>
        <w:spacing w:line="235" w:lineRule="auto" w:before="243" w:after="0"/>
        <w:ind w:left="496" w:right="130" w:hanging="360"/>
        <w:jc w:val="both"/>
        <w:rPr>
          <w:color w:val="231F20"/>
          <w:sz w:val="20"/>
        </w:rPr>
      </w:pPr>
      <w:r>
        <w:rPr>
          <w:color w:val="231F20"/>
          <w:sz w:val="20"/>
        </w:rPr>
        <w:t>A member can pay the establishment costs personally and seek reimbursement from the SMSF as soon as the fund has cash available.</w:t>
      </w:r>
    </w:p>
    <w:p>
      <w:pPr>
        <w:pStyle w:val="ListParagraph"/>
        <w:numPr>
          <w:ilvl w:val="0"/>
          <w:numId w:val="1"/>
        </w:numPr>
        <w:tabs>
          <w:tab w:pos="496" w:val="left" w:leader="none"/>
        </w:tabs>
        <w:spacing w:line="235" w:lineRule="auto" w:before="3" w:after="0"/>
        <w:ind w:left="496" w:right="128" w:hanging="360"/>
        <w:jc w:val="both"/>
        <w:rPr>
          <w:color w:val="231F20"/>
          <w:sz w:val="20"/>
        </w:rPr>
      </w:pPr>
      <w:r>
        <w:rPr>
          <w:color w:val="231F20"/>
          <w:sz w:val="20"/>
        </w:rPr>
        <w:t>Paid before the SMSF legally exists: this is not a contribution, whether or not the fund later reimburses the member, because the fund did not exist when the payment was made.</w:t>
      </w:r>
    </w:p>
    <w:p>
      <w:pPr>
        <w:pStyle w:val="ListParagraph"/>
        <w:numPr>
          <w:ilvl w:val="0"/>
          <w:numId w:val="1"/>
        </w:numPr>
        <w:tabs>
          <w:tab w:pos="496" w:val="left" w:leader="none"/>
        </w:tabs>
        <w:spacing w:line="235" w:lineRule="auto" w:before="3" w:after="0"/>
        <w:ind w:left="496" w:right="128" w:hanging="360"/>
        <w:jc w:val="both"/>
        <w:rPr>
          <w:color w:val="231F20"/>
          <w:sz w:val="20"/>
        </w:rPr>
      </w:pPr>
      <w:r>
        <w:rPr>
          <w:color w:val="231F20"/>
          <w:sz w:val="20"/>
        </w:rPr>
        <w:t>Paid</w:t>
      </w:r>
      <w:r>
        <w:rPr>
          <w:color w:val="231F20"/>
          <w:spacing w:val="-9"/>
          <w:sz w:val="20"/>
        </w:rPr>
        <w:t> </w:t>
      </w:r>
      <w:r>
        <w:rPr>
          <w:color w:val="231F20"/>
          <w:sz w:val="20"/>
        </w:rPr>
        <w:t>after</w:t>
      </w:r>
      <w:r>
        <w:rPr>
          <w:color w:val="231F20"/>
          <w:spacing w:val="-9"/>
          <w:sz w:val="20"/>
        </w:rPr>
        <w:t> </w:t>
      </w:r>
      <w:r>
        <w:rPr>
          <w:color w:val="231F20"/>
          <w:sz w:val="20"/>
        </w:rPr>
        <w:t>the</w:t>
      </w:r>
      <w:r>
        <w:rPr>
          <w:color w:val="231F20"/>
          <w:spacing w:val="-9"/>
          <w:sz w:val="20"/>
        </w:rPr>
        <w:t> </w:t>
      </w:r>
      <w:r>
        <w:rPr>
          <w:color w:val="231F20"/>
          <w:sz w:val="20"/>
        </w:rPr>
        <w:t>SMSF</w:t>
      </w:r>
      <w:r>
        <w:rPr>
          <w:color w:val="231F20"/>
          <w:spacing w:val="-9"/>
          <w:sz w:val="20"/>
        </w:rPr>
        <w:t> </w:t>
      </w:r>
      <w:r>
        <w:rPr>
          <w:color w:val="231F20"/>
          <w:sz w:val="20"/>
        </w:rPr>
        <w:t>is</w:t>
      </w:r>
      <w:r>
        <w:rPr>
          <w:color w:val="231F20"/>
          <w:spacing w:val="-9"/>
          <w:sz w:val="20"/>
        </w:rPr>
        <w:t> </w:t>
      </w:r>
      <w:r>
        <w:rPr>
          <w:color w:val="231F20"/>
          <w:sz w:val="20"/>
        </w:rPr>
        <w:t>established</w:t>
      </w:r>
      <w:r>
        <w:rPr>
          <w:color w:val="231F20"/>
          <w:spacing w:val="-9"/>
          <w:sz w:val="20"/>
        </w:rPr>
        <w:t> </w:t>
      </w:r>
      <w:r>
        <w:rPr>
          <w:color w:val="231F20"/>
          <w:sz w:val="20"/>
        </w:rPr>
        <w:t>and</w:t>
      </w:r>
      <w:r>
        <w:rPr>
          <w:color w:val="231F20"/>
          <w:spacing w:val="-9"/>
          <w:sz w:val="20"/>
        </w:rPr>
        <w:t> </w:t>
      </w:r>
      <w:r>
        <w:rPr>
          <w:color w:val="231F20"/>
          <w:sz w:val="20"/>
        </w:rPr>
        <w:t>reimbursed:</w:t>
      </w:r>
      <w:r>
        <w:rPr>
          <w:color w:val="231F20"/>
          <w:spacing w:val="-9"/>
          <w:sz w:val="20"/>
        </w:rPr>
        <w:t> </w:t>
      </w:r>
      <w:r>
        <w:rPr>
          <w:color w:val="231F20"/>
          <w:sz w:val="20"/>
        </w:rPr>
        <w:t>this</w:t>
      </w:r>
      <w:r>
        <w:rPr>
          <w:color w:val="231F20"/>
          <w:spacing w:val="-9"/>
          <w:sz w:val="20"/>
        </w:rPr>
        <w:t> </w:t>
      </w:r>
      <w:r>
        <w:rPr>
          <w:color w:val="231F20"/>
          <w:sz w:val="20"/>
        </w:rPr>
        <w:t>is not a contribution, because the fund’s capital does not </w:t>
      </w:r>
      <w:r>
        <w:rPr>
          <w:color w:val="231F20"/>
          <w:spacing w:val="-2"/>
          <w:sz w:val="20"/>
        </w:rPr>
        <w:t>increase.</w:t>
      </w:r>
    </w:p>
    <w:p>
      <w:pPr>
        <w:pStyle w:val="ListParagraph"/>
        <w:numPr>
          <w:ilvl w:val="0"/>
          <w:numId w:val="1"/>
        </w:numPr>
        <w:tabs>
          <w:tab w:pos="496" w:val="left" w:leader="none"/>
        </w:tabs>
        <w:spacing w:line="235" w:lineRule="auto" w:before="2" w:after="0"/>
        <w:ind w:left="496" w:right="130" w:hanging="360"/>
        <w:jc w:val="both"/>
        <w:rPr>
          <w:color w:val="231F20"/>
          <w:sz w:val="20"/>
        </w:rPr>
      </w:pPr>
      <w:r>
        <w:rPr>
          <w:color w:val="231F20"/>
          <w:sz w:val="20"/>
        </w:rPr>
        <w:t>Paid after the SMSF is established and not reimbursed: the amount must be treated as a contribution to the fund, which counts towards the member’s contribution </w:t>
      </w:r>
      <w:r>
        <w:rPr>
          <w:color w:val="231F20"/>
          <w:spacing w:val="-2"/>
          <w:sz w:val="20"/>
        </w:rPr>
        <w:t>caps.</w:t>
      </w:r>
    </w:p>
    <w:p>
      <w:pPr>
        <w:pStyle w:val="ListParagraph"/>
        <w:numPr>
          <w:ilvl w:val="0"/>
          <w:numId w:val="1"/>
        </w:numPr>
        <w:tabs>
          <w:tab w:pos="496" w:val="left" w:leader="none"/>
        </w:tabs>
        <w:spacing w:line="235" w:lineRule="auto" w:before="3" w:after="0"/>
        <w:ind w:left="496" w:right="130" w:hanging="360"/>
        <w:jc w:val="both"/>
        <w:rPr>
          <w:color w:val="231F20"/>
          <w:sz w:val="20"/>
        </w:rPr>
      </w:pPr>
      <w:r>
        <w:rPr>
          <w:color w:val="231F20"/>
          <w:sz w:val="20"/>
        </w:rPr>
        <w:t>The establishment cost is a capital expense of the fund and is not deductible.</w:t>
      </w:r>
    </w:p>
    <w:p>
      <w:pPr>
        <w:pStyle w:val="BodyText"/>
        <w:spacing w:line="235" w:lineRule="auto" w:before="241"/>
        <w:ind w:left="136" w:right="129"/>
        <w:jc w:val="both"/>
      </w:pPr>
      <w:r>
        <w:rPr>
          <w:color w:val="231F20"/>
        </w:rPr>
        <w:t>So,</w:t>
      </w:r>
      <w:r>
        <w:rPr>
          <w:color w:val="231F20"/>
          <w:spacing w:val="-1"/>
        </w:rPr>
        <w:t> </w:t>
      </w:r>
      <w:r>
        <w:rPr>
          <w:color w:val="231F20"/>
        </w:rPr>
        <w:t>the ATO has not necessarily introduced a new</w:t>
      </w:r>
      <w:r>
        <w:rPr>
          <w:color w:val="231F20"/>
          <w:spacing w:val="-1"/>
        </w:rPr>
        <w:t> </w:t>
      </w:r>
      <w:r>
        <w:rPr>
          <w:color w:val="231F20"/>
        </w:rPr>
        <w:t>rule; it has provided clearer guidance.</w:t>
      </w:r>
    </w:p>
    <w:p>
      <w:pPr>
        <w:pStyle w:val="BodyText"/>
        <w:spacing w:before="6"/>
        <w:rPr>
          <w:sz w:val="5"/>
        </w:rPr>
      </w:pPr>
      <w:r>
        <w:rPr>
          <w:sz w:val="5"/>
        </w:rPr>
        <mc:AlternateContent>
          <mc:Choice Requires="wps">
            <w:drawing>
              <wp:anchor distT="0" distB="0" distL="0" distR="0" allowOverlap="1" layoutInCell="1" locked="0" behindDoc="1" simplePos="0" relativeHeight="487590400">
                <wp:simplePos x="0" y="0"/>
                <wp:positionH relativeFrom="page">
                  <wp:posOffset>3965740</wp:posOffset>
                </wp:positionH>
                <wp:positionV relativeFrom="paragraph">
                  <wp:posOffset>57829</wp:posOffset>
                </wp:positionV>
                <wp:extent cx="3141345" cy="556895"/>
                <wp:effectExtent l="0" t="0" r="0" b="0"/>
                <wp:wrapTopAndBottom/>
                <wp:docPr id="10" name="Textbox 10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0" name="Textbox 10"/>
                      <wps:cNvSpPr txBox="1"/>
                      <wps:spPr>
                        <a:xfrm>
                          <a:off x="0" y="0"/>
                          <a:ext cx="3141345" cy="556895"/>
                        </a:xfrm>
                        <a:prstGeom prst="rect">
                          <a:avLst/>
                        </a:prstGeom>
                        <a:solidFill>
                          <a:srgbClr val="27AAE2">
                            <a:alpha val="18998"/>
                          </a:srgbClr>
                        </a:solidFill>
                      </wps:spPr>
                      <wps:txbx>
                        <w:txbxContent>
                          <w:p>
                            <w:pPr>
                              <w:pStyle w:val="BodyText"/>
                              <w:spacing w:line="254" w:lineRule="auto" w:before="54"/>
                              <w:ind w:left="14" w:right="-15"/>
                              <w:jc w:val="both"/>
                              <w:rPr>
                                <w:color w:val="000000"/>
                              </w:rPr>
                            </w:pPr>
                            <w:r>
                              <w:rPr>
                                <w:b/>
                                <w:color w:val="231F20"/>
                              </w:rPr>
                              <w:t>How we can help: </w:t>
                            </w:r>
                            <w:r>
                              <w:rPr>
                                <w:color w:val="231F20"/>
                              </w:rPr>
                              <w:t>Our office will assist you in correctly recording your fund's establishment costs in the financial </w:t>
                            </w:r>
                            <w:r>
                              <w:rPr>
                                <w:color w:val="231F20"/>
                                <w:spacing w:val="-2"/>
                              </w:rPr>
                              <w:t>statements.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312.263pt;margin-top:4.553515pt;width:247.35pt;height:43.85pt;mso-position-horizontal-relative:page;mso-position-vertical-relative:paragraph;z-index:-15726080;mso-wrap-distance-left:0;mso-wrap-distance-right:0" type="#_x0000_t202" id="docshape9" filled="true" fillcolor="#27aae2" stroked="false">
                <v:textbox inset="0,0,0,0">
                  <w:txbxContent>
                    <w:p>
                      <w:pPr>
                        <w:pStyle w:val="BodyText"/>
                        <w:spacing w:line="254" w:lineRule="auto" w:before="54"/>
                        <w:ind w:left="14" w:right="-15"/>
                        <w:jc w:val="both"/>
                        <w:rPr>
                          <w:color w:val="000000"/>
                        </w:rPr>
                      </w:pPr>
                      <w:r>
                        <w:rPr>
                          <w:b/>
                          <w:color w:val="231F20"/>
                        </w:rPr>
                        <w:t>How we can help: </w:t>
                      </w:r>
                      <w:r>
                        <w:rPr>
                          <w:color w:val="231F20"/>
                        </w:rPr>
                        <w:t>Our office will assist you in correctly recording your fund's establishment costs in the financial </w:t>
                      </w:r>
                      <w:r>
                        <w:rPr>
                          <w:color w:val="231F20"/>
                          <w:spacing w:val="-2"/>
                        </w:rPr>
                        <w:t>statements.</w:t>
                      </w:r>
                    </w:p>
                  </w:txbxContent>
                </v:textbox>
                <v:fill opacity="12451f" type="solid"/>
                <w10:wrap type="topAndBottom"/>
              </v:shape>
            </w:pict>
          </mc:Fallback>
        </mc:AlternateContent>
      </w:r>
      <w:r>
        <w:rPr>
          <w:sz w:val="5"/>
        </w:rPr>
        <mc:AlternateContent>
          <mc:Choice Requires="wps">
            <w:drawing>
              <wp:anchor distT="0" distB="0" distL="0" distR="0" allowOverlap="1" layoutInCell="1" locked="0" behindDoc="1" simplePos="0" relativeHeight="487590912">
                <wp:simplePos x="0" y="0"/>
                <wp:positionH relativeFrom="page">
                  <wp:posOffset>3972979</wp:posOffset>
                </wp:positionH>
                <wp:positionV relativeFrom="paragraph">
                  <wp:posOffset>736276</wp:posOffset>
                </wp:positionV>
                <wp:extent cx="3143250" cy="559435"/>
                <wp:effectExtent l="0" t="0" r="0" b="0"/>
                <wp:wrapTopAndBottom/>
                <wp:docPr id="11" name="Textbox 11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1" name="Textbox 11"/>
                      <wps:cNvSpPr txBox="1"/>
                      <wps:spPr>
                        <a:xfrm>
                          <a:off x="0" y="0"/>
                          <a:ext cx="3143250" cy="559435"/>
                        </a:xfrm>
                        <a:prstGeom prst="rect">
                          <a:avLst/>
                        </a:prstGeom>
                        <a:solidFill>
                          <a:srgbClr val="019BD7"/>
                        </a:solidFill>
                      </wps:spPr>
                      <wps:txbx>
                        <w:txbxContent>
                          <w:p>
                            <w:pPr>
                              <w:spacing w:line="235" w:lineRule="auto" w:before="89"/>
                              <w:ind w:left="49" w:right="0" w:firstLine="0"/>
                              <w:jc w:val="left"/>
                              <w:rPr>
                                <w:b/>
                                <w:color w:val="000000"/>
                                <w:sz w:val="28"/>
                              </w:rPr>
                            </w:pPr>
                            <w:r>
                              <w:rPr>
                                <w:b/>
                                <w:color w:val="FFFFFF"/>
                                <w:sz w:val="28"/>
                              </w:rPr>
                              <w:t>Tribunal</w:t>
                            </w:r>
                            <w:r>
                              <w:rPr>
                                <w:b/>
                                <w:color w:val="FFFFFF"/>
                                <w:spacing w:val="-12"/>
                                <w:sz w:val="28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FFFFFF"/>
                                <w:sz w:val="28"/>
                              </w:rPr>
                              <w:t>decision</w:t>
                            </w:r>
                            <w:r>
                              <w:rPr>
                                <w:b/>
                                <w:color w:val="FFFFFF"/>
                                <w:spacing w:val="-12"/>
                                <w:sz w:val="28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FFFFFF"/>
                                <w:sz w:val="28"/>
                              </w:rPr>
                              <w:t>shows</w:t>
                            </w:r>
                            <w:r>
                              <w:rPr>
                                <w:b/>
                                <w:color w:val="FFFFFF"/>
                                <w:spacing w:val="-12"/>
                                <w:sz w:val="28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FFFFFF"/>
                                <w:sz w:val="28"/>
                              </w:rPr>
                              <w:t>the</w:t>
                            </w:r>
                            <w:r>
                              <w:rPr>
                                <w:b/>
                                <w:color w:val="FFFFFF"/>
                                <w:spacing w:val="-13"/>
                                <w:sz w:val="28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FFFFFF"/>
                                <w:sz w:val="28"/>
                              </w:rPr>
                              <w:t>dangers</w:t>
                            </w:r>
                            <w:r>
                              <w:rPr>
                                <w:b/>
                                <w:color w:val="FFFFFF"/>
                                <w:spacing w:val="-12"/>
                                <w:sz w:val="28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FFFFFF"/>
                                <w:sz w:val="28"/>
                              </w:rPr>
                              <w:t>of withdrawing super early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312.833008pt;margin-top:57.974514pt;width:247.5pt;height:44.05pt;mso-position-horizontal-relative:page;mso-position-vertical-relative:paragraph;z-index:-15725568;mso-wrap-distance-left:0;mso-wrap-distance-right:0" type="#_x0000_t202" id="docshape10" filled="true" fillcolor="#019bd7" stroked="false">
                <v:textbox inset="0,0,0,0">
                  <w:txbxContent>
                    <w:p>
                      <w:pPr>
                        <w:spacing w:line="235" w:lineRule="auto" w:before="89"/>
                        <w:ind w:left="49" w:right="0" w:firstLine="0"/>
                        <w:jc w:val="left"/>
                        <w:rPr>
                          <w:b/>
                          <w:color w:val="000000"/>
                          <w:sz w:val="28"/>
                        </w:rPr>
                      </w:pPr>
                      <w:r>
                        <w:rPr>
                          <w:b/>
                          <w:color w:val="FFFFFF"/>
                          <w:sz w:val="28"/>
                        </w:rPr>
                        <w:t>Tribunal</w:t>
                      </w:r>
                      <w:r>
                        <w:rPr>
                          <w:b/>
                          <w:color w:val="FFFFFF"/>
                          <w:spacing w:val="-12"/>
                          <w:sz w:val="28"/>
                        </w:rPr>
                        <w:t> </w:t>
                      </w:r>
                      <w:r>
                        <w:rPr>
                          <w:b/>
                          <w:color w:val="FFFFFF"/>
                          <w:sz w:val="28"/>
                        </w:rPr>
                        <w:t>decision</w:t>
                      </w:r>
                      <w:r>
                        <w:rPr>
                          <w:b/>
                          <w:color w:val="FFFFFF"/>
                          <w:spacing w:val="-12"/>
                          <w:sz w:val="28"/>
                        </w:rPr>
                        <w:t> </w:t>
                      </w:r>
                      <w:r>
                        <w:rPr>
                          <w:b/>
                          <w:color w:val="FFFFFF"/>
                          <w:sz w:val="28"/>
                        </w:rPr>
                        <w:t>shows</w:t>
                      </w:r>
                      <w:r>
                        <w:rPr>
                          <w:b/>
                          <w:color w:val="FFFFFF"/>
                          <w:spacing w:val="-12"/>
                          <w:sz w:val="28"/>
                        </w:rPr>
                        <w:t> </w:t>
                      </w:r>
                      <w:r>
                        <w:rPr>
                          <w:b/>
                          <w:color w:val="FFFFFF"/>
                          <w:sz w:val="28"/>
                        </w:rPr>
                        <w:t>the</w:t>
                      </w:r>
                      <w:r>
                        <w:rPr>
                          <w:b/>
                          <w:color w:val="FFFFFF"/>
                          <w:spacing w:val="-13"/>
                          <w:sz w:val="28"/>
                        </w:rPr>
                        <w:t> </w:t>
                      </w:r>
                      <w:r>
                        <w:rPr>
                          <w:b/>
                          <w:color w:val="FFFFFF"/>
                          <w:sz w:val="28"/>
                        </w:rPr>
                        <w:t>dangers</w:t>
                      </w:r>
                      <w:r>
                        <w:rPr>
                          <w:b/>
                          <w:color w:val="FFFFFF"/>
                          <w:spacing w:val="-12"/>
                          <w:sz w:val="28"/>
                        </w:rPr>
                        <w:t> </w:t>
                      </w:r>
                      <w:r>
                        <w:rPr>
                          <w:b/>
                          <w:color w:val="FFFFFF"/>
                          <w:sz w:val="28"/>
                        </w:rPr>
                        <w:t>of withdrawing super early</w:t>
                      </w:r>
                    </w:p>
                  </w:txbxContent>
                </v:textbox>
                <v:fill type="solid"/>
                <w10:wrap type="topAndBottom"/>
              </v:shape>
            </w:pict>
          </mc:Fallback>
        </mc:AlternateContent>
      </w:r>
    </w:p>
    <w:p>
      <w:pPr>
        <w:pStyle w:val="BodyText"/>
        <w:spacing w:before="9"/>
        <w:rPr>
          <w:sz w:val="13"/>
        </w:rPr>
      </w:pPr>
    </w:p>
    <w:p>
      <w:pPr>
        <w:pStyle w:val="BodyText"/>
        <w:spacing w:line="254" w:lineRule="auto" w:before="122"/>
        <w:ind w:left="138" w:right="132"/>
        <w:jc w:val="both"/>
      </w:pPr>
      <w:r>
        <w:rPr>
          <w:color w:val="231F20"/>
        </w:rPr>
        <w:t>The Administrative Review Tribunal has highlighted the serious tax consequences that can arise when superannuation is accessed before a valid condition of release is met. The case is Santavas and Commissioner of Taxation [2025] ARTA 2515.</w:t>
      </w:r>
    </w:p>
    <w:p>
      <w:pPr>
        <w:pStyle w:val="BodyText"/>
        <w:spacing w:after="0" w:line="254" w:lineRule="auto"/>
        <w:jc w:val="both"/>
        <w:sectPr>
          <w:type w:val="continuous"/>
          <w:pgSz w:w="11910" w:h="16840"/>
          <w:pgMar w:top="0" w:bottom="280" w:left="566" w:right="566"/>
          <w:cols w:num="2" w:equalWidth="0">
            <w:col w:w="5130" w:space="426"/>
            <w:col w:w="5222"/>
          </w:cols>
        </w:sectPr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227"/>
      </w:pPr>
    </w:p>
    <w:p>
      <w:pPr>
        <w:pStyle w:val="BodyText"/>
        <w:spacing w:after="0"/>
        <w:sectPr>
          <w:pgSz w:w="11910" w:h="16840"/>
          <w:pgMar w:top="0" w:bottom="0" w:left="566" w:right="566"/>
        </w:sectPr>
      </w:pPr>
    </w:p>
    <w:p>
      <w:pPr>
        <w:pStyle w:val="Heading1"/>
        <w:spacing w:before="60"/>
      </w:pPr>
      <w:r>
        <w:rPr>
          <w:color w:val="231F20"/>
        </w:rPr>
        <w:t>What</w:t>
      </w:r>
      <w:r>
        <w:rPr>
          <w:color w:val="231F20"/>
          <w:spacing w:val="-2"/>
        </w:rPr>
        <w:t> happened?</w:t>
      </w:r>
    </w:p>
    <w:p>
      <w:pPr>
        <w:pStyle w:val="BodyText"/>
        <w:spacing w:before="72"/>
        <w:rPr>
          <w:b/>
        </w:rPr>
      </w:pPr>
    </w:p>
    <w:p>
      <w:pPr>
        <w:pStyle w:val="ListParagraph"/>
        <w:numPr>
          <w:ilvl w:val="0"/>
          <w:numId w:val="1"/>
        </w:numPr>
        <w:tabs>
          <w:tab w:pos="533" w:val="left" w:leader="none"/>
        </w:tabs>
        <w:spacing w:line="276" w:lineRule="auto" w:before="0" w:after="0"/>
        <w:ind w:left="533" w:right="39" w:hanging="360"/>
        <w:jc w:val="left"/>
        <w:rPr>
          <w:color w:val="231F20"/>
          <w:sz w:val="20"/>
        </w:rPr>
      </w:pPr>
      <w:r>
        <w:rPr>
          <w:color w:val="231F20"/>
          <w:sz w:val="20"/>
        </w:rPr>
        <w:t>A</w:t>
      </w:r>
      <w:r>
        <w:rPr>
          <w:color w:val="231F20"/>
          <w:spacing w:val="40"/>
          <w:sz w:val="20"/>
        </w:rPr>
        <w:t> </w:t>
      </w:r>
      <w:r>
        <w:rPr>
          <w:color w:val="231F20"/>
          <w:sz w:val="20"/>
        </w:rPr>
        <w:t>couple</w:t>
      </w:r>
      <w:r>
        <w:rPr>
          <w:color w:val="231F20"/>
          <w:spacing w:val="40"/>
          <w:sz w:val="20"/>
        </w:rPr>
        <w:t> </w:t>
      </w:r>
      <w:r>
        <w:rPr>
          <w:color w:val="231F20"/>
          <w:sz w:val="20"/>
        </w:rPr>
        <w:t>lost</w:t>
      </w:r>
      <w:r>
        <w:rPr>
          <w:color w:val="231F20"/>
          <w:spacing w:val="40"/>
          <w:sz w:val="20"/>
        </w:rPr>
        <w:t> </w:t>
      </w:r>
      <w:r>
        <w:rPr>
          <w:color w:val="231F20"/>
          <w:sz w:val="20"/>
        </w:rPr>
        <w:t>money</w:t>
      </w:r>
      <w:r>
        <w:rPr>
          <w:color w:val="231F20"/>
          <w:spacing w:val="40"/>
          <w:sz w:val="20"/>
        </w:rPr>
        <w:t> </w:t>
      </w:r>
      <w:r>
        <w:rPr>
          <w:color w:val="231F20"/>
          <w:sz w:val="20"/>
        </w:rPr>
        <w:t>when</w:t>
      </w:r>
      <w:r>
        <w:rPr>
          <w:color w:val="231F20"/>
          <w:spacing w:val="40"/>
          <w:sz w:val="20"/>
        </w:rPr>
        <w:t> </w:t>
      </w:r>
      <w:r>
        <w:rPr>
          <w:color w:val="231F20"/>
          <w:sz w:val="20"/>
        </w:rPr>
        <w:t>their</w:t>
      </w:r>
      <w:r>
        <w:rPr>
          <w:color w:val="231F20"/>
          <w:spacing w:val="40"/>
          <w:sz w:val="20"/>
        </w:rPr>
        <w:t> </w:t>
      </w:r>
      <w:r>
        <w:rPr>
          <w:color w:val="231F20"/>
          <w:sz w:val="20"/>
        </w:rPr>
        <w:t>builder</w:t>
      </w:r>
      <w:r>
        <w:rPr>
          <w:color w:val="231F20"/>
          <w:spacing w:val="40"/>
          <w:sz w:val="20"/>
        </w:rPr>
        <w:t> </w:t>
      </w:r>
      <w:r>
        <w:rPr>
          <w:color w:val="231F20"/>
          <w:sz w:val="20"/>
        </w:rPr>
        <w:t>went</w:t>
      </w:r>
      <w:r>
        <w:rPr>
          <w:color w:val="231F20"/>
          <w:spacing w:val="40"/>
          <w:sz w:val="20"/>
        </w:rPr>
        <w:t> </w:t>
      </w:r>
      <w:r>
        <w:rPr>
          <w:color w:val="231F20"/>
          <w:sz w:val="20"/>
        </w:rPr>
        <w:t>into</w:t>
      </w:r>
      <w:r>
        <w:rPr>
          <w:color w:val="231F20"/>
          <w:spacing w:val="40"/>
          <w:sz w:val="20"/>
        </w:rPr>
        <w:t> </w:t>
      </w:r>
      <w:r>
        <w:rPr>
          <w:color w:val="231F20"/>
          <w:sz w:val="20"/>
        </w:rPr>
        <w:t>liquidation midway through a townhouse development.</w:t>
      </w:r>
    </w:p>
    <w:p>
      <w:pPr>
        <w:pStyle w:val="ListParagraph"/>
        <w:numPr>
          <w:ilvl w:val="0"/>
          <w:numId w:val="1"/>
        </w:numPr>
        <w:tabs>
          <w:tab w:pos="533" w:val="left" w:leader="none"/>
        </w:tabs>
        <w:spacing w:line="243" w:lineRule="exact" w:before="0" w:after="0"/>
        <w:ind w:left="533" w:right="0" w:hanging="360"/>
        <w:jc w:val="left"/>
        <w:rPr>
          <w:color w:val="231F20"/>
          <w:sz w:val="20"/>
        </w:rPr>
      </w:pPr>
      <w:r>
        <w:rPr>
          <w:color w:val="231F20"/>
          <w:sz w:val="20"/>
        </w:rPr>
        <w:t>On</w:t>
      </w:r>
      <w:r>
        <w:rPr>
          <w:color w:val="231F20"/>
          <w:spacing w:val="54"/>
          <w:sz w:val="20"/>
        </w:rPr>
        <w:t> </w:t>
      </w:r>
      <w:r>
        <w:rPr>
          <w:color w:val="231F20"/>
          <w:sz w:val="20"/>
        </w:rPr>
        <w:t>a</w:t>
      </w:r>
      <w:r>
        <w:rPr>
          <w:color w:val="231F20"/>
          <w:spacing w:val="55"/>
          <w:sz w:val="20"/>
        </w:rPr>
        <w:t> </w:t>
      </w:r>
      <w:r>
        <w:rPr>
          <w:color w:val="231F20"/>
          <w:sz w:val="20"/>
        </w:rPr>
        <w:t>tax</w:t>
      </w:r>
      <w:r>
        <w:rPr>
          <w:color w:val="231F20"/>
          <w:spacing w:val="54"/>
          <w:sz w:val="20"/>
        </w:rPr>
        <w:t> </w:t>
      </w:r>
      <w:r>
        <w:rPr>
          <w:color w:val="231F20"/>
          <w:sz w:val="20"/>
        </w:rPr>
        <w:t>agent's</w:t>
      </w:r>
      <w:r>
        <w:rPr>
          <w:color w:val="231F20"/>
          <w:spacing w:val="55"/>
          <w:sz w:val="20"/>
        </w:rPr>
        <w:t> </w:t>
      </w:r>
      <w:r>
        <w:rPr>
          <w:color w:val="231F20"/>
          <w:sz w:val="20"/>
        </w:rPr>
        <w:t>suggestion,</w:t>
      </w:r>
      <w:r>
        <w:rPr>
          <w:color w:val="231F20"/>
          <w:spacing w:val="55"/>
          <w:sz w:val="20"/>
        </w:rPr>
        <w:t> </w:t>
      </w:r>
      <w:r>
        <w:rPr>
          <w:color w:val="231F20"/>
          <w:sz w:val="20"/>
        </w:rPr>
        <w:t>they</w:t>
      </w:r>
      <w:r>
        <w:rPr>
          <w:color w:val="231F20"/>
          <w:spacing w:val="54"/>
          <w:sz w:val="20"/>
        </w:rPr>
        <w:t> </w:t>
      </w:r>
      <w:r>
        <w:rPr>
          <w:color w:val="231F20"/>
          <w:sz w:val="20"/>
        </w:rPr>
        <w:t>rolled</w:t>
      </w:r>
      <w:r>
        <w:rPr>
          <w:color w:val="231F20"/>
          <w:spacing w:val="55"/>
          <w:sz w:val="20"/>
        </w:rPr>
        <w:t> </w:t>
      </w:r>
      <w:r>
        <w:rPr>
          <w:color w:val="231F20"/>
          <w:sz w:val="20"/>
        </w:rPr>
        <w:t>over</w:t>
      </w:r>
      <w:r>
        <w:rPr>
          <w:color w:val="231F20"/>
          <w:spacing w:val="55"/>
          <w:sz w:val="20"/>
        </w:rPr>
        <w:t> </w:t>
      </w:r>
      <w:r>
        <w:rPr>
          <w:color w:val="231F20"/>
          <w:spacing w:val="-2"/>
          <w:sz w:val="20"/>
        </w:rPr>
        <w:t>about</w:t>
      </w:r>
    </w:p>
    <w:p>
      <w:pPr>
        <w:pStyle w:val="BodyText"/>
        <w:spacing w:line="276" w:lineRule="auto" w:before="36"/>
        <w:ind w:left="533"/>
      </w:pPr>
      <w:r>
        <w:rPr>
          <w:color w:val="231F20"/>
        </w:rPr>
        <w:t>$380,000</w:t>
      </w:r>
      <w:r>
        <w:rPr>
          <w:color w:val="231F20"/>
          <w:spacing w:val="40"/>
        </w:rPr>
        <w:t> </w:t>
      </w:r>
      <w:r>
        <w:rPr>
          <w:color w:val="231F20"/>
        </w:rPr>
        <w:t>into</w:t>
      </w:r>
      <w:r>
        <w:rPr>
          <w:color w:val="231F20"/>
          <w:spacing w:val="40"/>
        </w:rPr>
        <w:t> </w:t>
      </w:r>
      <w:r>
        <w:rPr>
          <w:color w:val="231F20"/>
        </w:rPr>
        <w:t>a</w:t>
      </w:r>
      <w:r>
        <w:rPr>
          <w:color w:val="231F20"/>
          <w:spacing w:val="40"/>
        </w:rPr>
        <w:t> </w:t>
      </w:r>
      <w:r>
        <w:rPr>
          <w:color w:val="231F20"/>
        </w:rPr>
        <w:t>new</w:t>
      </w:r>
      <w:r>
        <w:rPr>
          <w:color w:val="231F20"/>
          <w:spacing w:val="40"/>
        </w:rPr>
        <w:t> </w:t>
      </w:r>
      <w:r>
        <w:rPr>
          <w:color w:val="231F20"/>
        </w:rPr>
        <w:t>SMSF</w:t>
      </w:r>
      <w:r>
        <w:rPr>
          <w:color w:val="231F20"/>
          <w:spacing w:val="40"/>
        </w:rPr>
        <w:t> </w:t>
      </w:r>
      <w:r>
        <w:rPr>
          <w:color w:val="231F20"/>
        </w:rPr>
        <w:t>and</w:t>
      </w:r>
      <w:r>
        <w:rPr>
          <w:color w:val="231F20"/>
          <w:spacing w:val="40"/>
        </w:rPr>
        <w:t> </w:t>
      </w:r>
      <w:r>
        <w:rPr>
          <w:color w:val="231F20"/>
        </w:rPr>
        <w:t>withdrew</w:t>
      </w:r>
      <w:r>
        <w:rPr>
          <w:color w:val="231F20"/>
          <w:spacing w:val="40"/>
        </w:rPr>
        <w:t> </w:t>
      </w:r>
      <w:r>
        <w:rPr>
          <w:color w:val="231F20"/>
        </w:rPr>
        <w:t>it</w:t>
      </w:r>
      <w:r>
        <w:rPr>
          <w:color w:val="231F20"/>
          <w:spacing w:val="40"/>
        </w:rPr>
        <w:t> </w:t>
      </w:r>
      <w:r>
        <w:rPr>
          <w:color w:val="231F20"/>
        </w:rPr>
        <w:t>in</w:t>
      </w:r>
      <w:r>
        <w:rPr>
          <w:color w:val="231F20"/>
          <w:spacing w:val="40"/>
        </w:rPr>
        <w:t> </w:t>
      </w:r>
      <w:r>
        <w:rPr>
          <w:color w:val="231F20"/>
        </w:rPr>
        <w:t>nine transactions to fund the project.</w:t>
      </w:r>
    </w:p>
    <w:p>
      <w:pPr>
        <w:pStyle w:val="ListParagraph"/>
        <w:numPr>
          <w:ilvl w:val="0"/>
          <w:numId w:val="1"/>
        </w:numPr>
        <w:tabs>
          <w:tab w:pos="533" w:val="left" w:leader="none"/>
        </w:tabs>
        <w:spacing w:line="276" w:lineRule="auto" w:before="0" w:after="0"/>
        <w:ind w:left="533" w:right="39" w:hanging="360"/>
        <w:jc w:val="left"/>
        <w:rPr>
          <w:color w:val="231F20"/>
          <w:sz w:val="20"/>
        </w:rPr>
      </w:pPr>
      <w:r>
        <w:rPr>
          <w:color w:val="231F20"/>
          <w:sz w:val="20"/>
        </w:rPr>
        <w:t>They hadn't retired or met a condition of release, so the withdrawals were illegal.</w:t>
      </w:r>
    </w:p>
    <w:p>
      <w:pPr>
        <w:pStyle w:val="ListParagraph"/>
        <w:numPr>
          <w:ilvl w:val="0"/>
          <w:numId w:val="1"/>
        </w:numPr>
        <w:tabs>
          <w:tab w:pos="533" w:val="left" w:leader="none"/>
        </w:tabs>
        <w:spacing w:line="276" w:lineRule="auto" w:before="0" w:after="0"/>
        <w:ind w:left="533" w:right="39" w:hanging="360"/>
        <w:jc w:val="left"/>
        <w:rPr>
          <w:color w:val="231F20"/>
          <w:sz w:val="20"/>
        </w:rPr>
      </w:pPr>
      <w:r>
        <w:rPr>
          <w:color w:val="231F20"/>
          <w:sz w:val="20"/>
        </w:rPr>
        <w:t>No SMSF tax returns were lodged, and the withdrawals weren't reported in their own returns.</w:t>
      </w:r>
    </w:p>
    <w:p>
      <w:pPr>
        <w:pStyle w:val="BodyText"/>
      </w:pPr>
    </w:p>
    <w:p>
      <w:pPr>
        <w:pStyle w:val="BodyText"/>
        <w:spacing w:before="34"/>
      </w:pPr>
      <w:r>
        <w:rPr/>
        <w:drawing>
          <wp:anchor distT="0" distB="0" distL="0" distR="0" allowOverlap="1" layoutInCell="1" locked="0" behindDoc="1" simplePos="0" relativeHeight="487591936">
            <wp:simplePos x="0" y="0"/>
            <wp:positionH relativeFrom="page">
              <wp:posOffset>653407</wp:posOffset>
            </wp:positionH>
            <wp:positionV relativeFrom="paragraph">
              <wp:posOffset>192125</wp:posOffset>
            </wp:positionV>
            <wp:extent cx="2777779" cy="2773679"/>
            <wp:effectExtent l="0" t="0" r="0" b="0"/>
            <wp:wrapTopAndBottom/>
            <wp:docPr id="12" name="Image 12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2" name="Image 12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777779" cy="277367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</w:pPr>
    </w:p>
    <w:p>
      <w:pPr>
        <w:pStyle w:val="BodyText"/>
        <w:spacing w:before="70"/>
      </w:pPr>
    </w:p>
    <w:p>
      <w:pPr>
        <w:pStyle w:val="Heading1"/>
      </w:pPr>
      <w:r>
        <w:rPr>
          <w:color w:val="231F20"/>
        </w:rPr>
        <w:t>What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Tribunal</w:t>
      </w:r>
      <w:r>
        <w:rPr>
          <w:color w:val="231F20"/>
          <w:spacing w:val="-5"/>
        </w:rPr>
        <w:t> </w:t>
      </w:r>
      <w:r>
        <w:rPr>
          <w:color w:val="231F20"/>
          <w:spacing w:val="-2"/>
        </w:rPr>
        <w:t>decided</w:t>
      </w:r>
    </w:p>
    <w:p>
      <w:pPr>
        <w:pStyle w:val="BodyText"/>
        <w:spacing w:before="71"/>
        <w:rPr>
          <w:b/>
        </w:rPr>
      </w:pPr>
    </w:p>
    <w:p>
      <w:pPr>
        <w:pStyle w:val="ListParagraph"/>
        <w:numPr>
          <w:ilvl w:val="0"/>
          <w:numId w:val="1"/>
        </w:numPr>
        <w:tabs>
          <w:tab w:pos="533" w:val="left" w:leader="none"/>
        </w:tabs>
        <w:spacing w:line="276" w:lineRule="auto" w:before="0" w:after="0"/>
        <w:ind w:left="533" w:right="38" w:hanging="360"/>
        <w:jc w:val="both"/>
        <w:rPr>
          <w:color w:val="231F20"/>
          <w:sz w:val="20"/>
        </w:rPr>
      </w:pPr>
      <w:r>
        <w:rPr>
          <w:color w:val="231F20"/>
          <w:sz w:val="20"/>
        </w:rPr>
        <w:t>The Tribunal refused to use its discretion to stop the withdrawals</w:t>
      </w:r>
      <w:r>
        <w:rPr>
          <w:color w:val="231F20"/>
          <w:spacing w:val="-12"/>
          <w:sz w:val="20"/>
        </w:rPr>
        <w:t> </w:t>
      </w:r>
      <w:r>
        <w:rPr>
          <w:color w:val="231F20"/>
          <w:sz w:val="20"/>
        </w:rPr>
        <w:t>being</w:t>
      </w:r>
      <w:r>
        <w:rPr>
          <w:color w:val="231F20"/>
          <w:spacing w:val="-11"/>
          <w:sz w:val="20"/>
        </w:rPr>
        <w:t> </w:t>
      </w:r>
      <w:r>
        <w:rPr>
          <w:color w:val="231F20"/>
          <w:sz w:val="20"/>
        </w:rPr>
        <w:t>taxed,</w:t>
      </w:r>
      <w:r>
        <w:rPr>
          <w:color w:val="231F20"/>
          <w:spacing w:val="-11"/>
          <w:sz w:val="20"/>
        </w:rPr>
        <w:t> </w:t>
      </w:r>
      <w:r>
        <w:rPr>
          <w:color w:val="231F20"/>
          <w:sz w:val="20"/>
        </w:rPr>
        <w:t>because</w:t>
      </w:r>
      <w:r>
        <w:rPr>
          <w:color w:val="231F20"/>
          <w:spacing w:val="-12"/>
          <w:sz w:val="20"/>
        </w:rPr>
        <w:t> </w:t>
      </w:r>
      <w:r>
        <w:rPr>
          <w:color w:val="231F20"/>
          <w:sz w:val="20"/>
        </w:rPr>
        <w:t>the</w:t>
      </w:r>
      <w:r>
        <w:rPr>
          <w:color w:val="231F20"/>
          <w:spacing w:val="-11"/>
          <w:sz w:val="20"/>
        </w:rPr>
        <w:t> </w:t>
      </w:r>
      <w:r>
        <w:rPr>
          <w:color w:val="231F20"/>
          <w:sz w:val="20"/>
        </w:rPr>
        <w:t>couple</w:t>
      </w:r>
      <w:r>
        <w:rPr>
          <w:color w:val="231F20"/>
          <w:spacing w:val="-11"/>
          <w:sz w:val="20"/>
        </w:rPr>
        <w:t> </w:t>
      </w:r>
      <w:r>
        <w:rPr>
          <w:color w:val="231F20"/>
          <w:sz w:val="20"/>
        </w:rPr>
        <w:t>themselves chose to take the money out.</w:t>
      </w:r>
    </w:p>
    <w:p>
      <w:pPr>
        <w:pStyle w:val="ListParagraph"/>
        <w:numPr>
          <w:ilvl w:val="0"/>
          <w:numId w:val="1"/>
        </w:numPr>
        <w:tabs>
          <w:tab w:pos="533" w:val="left" w:leader="none"/>
        </w:tabs>
        <w:spacing w:line="276" w:lineRule="auto" w:before="0" w:after="0"/>
        <w:ind w:left="533" w:right="39" w:hanging="360"/>
        <w:jc w:val="both"/>
        <w:rPr>
          <w:color w:val="231F20"/>
          <w:sz w:val="20"/>
        </w:rPr>
      </w:pPr>
      <w:r>
        <w:rPr>
          <w:color w:val="231F20"/>
          <w:sz w:val="20"/>
        </w:rPr>
        <w:t>Their argument that they relied on their tax agent's advice</w:t>
      </w:r>
      <w:r>
        <w:rPr>
          <w:color w:val="231F20"/>
          <w:spacing w:val="-7"/>
          <w:sz w:val="20"/>
        </w:rPr>
        <w:t> </w:t>
      </w:r>
      <w:r>
        <w:rPr>
          <w:color w:val="231F20"/>
          <w:sz w:val="20"/>
        </w:rPr>
        <w:t>failed.</w:t>
      </w:r>
      <w:r>
        <w:rPr>
          <w:color w:val="231F20"/>
          <w:spacing w:val="-7"/>
          <w:sz w:val="20"/>
        </w:rPr>
        <w:t> </w:t>
      </w:r>
      <w:r>
        <w:rPr>
          <w:color w:val="231F20"/>
          <w:sz w:val="20"/>
        </w:rPr>
        <w:t>There</w:t>
      </w:r>
      <w:r>
        <w:rPr>
          <w:color w:val="231F20"/>
          <w:spacing w:val="-7"/>
          <w:sz w:val="20"/>
        </w:rPr>
        <w:t> </w:t>
      </w:r>
      <w:r>
        <w:rPr>
          <w:color w:val="231F20"/>
          <w:sz w:val="20"/>
        </w:rPr>
        <w:t>was</w:t>
      </w:r>
      <w:r>
        <w:rPr>
          <w:color w:val="231F20"/>
          <w:spacing w:val="-7"/>
          <w:sz w:val="20"/>
        </w:rPr>
        <w:t> </w:t>
      </w:r>
      <w:r>
        <w:rPr>
          <w:color w:val="231F20"/>
          <w:sz w:val="20"/>
        </w:rPr>
        <w:t>no</w:t>
      </w:r>
      <w:r>
        <w:rPr>
          <w:color w:val="231F20"/>
          <w:spacing w:val="-7"/>
          <w:sz w:val="20"/>
        </w:rPr>
        <w:t> </w:t>
      </w:r>
      <w:r>
        <w:rPr>
          <w:color w:val="231F20"/>
          <w:sz w:val="20"/>
        </w:rPr>
        <w:t>written</w:t>
      </w:r>
      <w:r>
        <w:rPr>
          <w:color w:val="231F20"/>
          <w:spacing w:val="-8"/>
          <w:sz w:val="20"/>
        </w:rPr>
        <w:t> </w:t>
      </w:r>
      <w:r>
        <w:rPr>
          <w:color w:val="231F20"/>
          <w:sz w:val="20"/>
        </w:rPr>
        <w:t>advice,</w:t>
      </w:r>
      <w:r>
        <w:rPr>
          <w:color w:val="231F20"/>
          <w:spacing w:val="-7"/>
          <w:sz w:val="20"/>
        </w:rPr>
        <w:t> </w:t>
      </w:r>
      <w:r>
        <w:rPr>
          <w:color w:val="231F20"/>
          <w:sz w:val="20"/>
        </w:rPr>
        <w:t>and</w:t>
      </w:r>
      <w:r>
        <w:rPr>
          <w:color w:val="231F20"/>
          <w:spacing w:val="-7"/>
          <w:sz w:val="20"/>
        </w:rPr>
        <w:t> </w:t>
      </w:r>
      <w:r>
        <w:rPr>
          <w:color w:val="231F20"/>
          <w:sz w:val="20"/>
        </w:rPr>
        <w:t>an</w:t>
      </w:r>
      <w:r>
        <w:rPr>
          <w:color w:val="231F20"/>
          <w:spacing w:val="-7"/>
          <w:sz w:val="20"/>
        </w:rPr>
        <w:t> </w:t>
      </w:r>
      <w:r>
        <w:rPr>
          <w:color w:val="231F20"/>
          <w:sz w:val="20"/>
        </w:rPr>
        <w:t>article they</w:t>
      </w:r>
      <w:r>
        <w:rPr>
          <w:color w:val="231F20"/>
          <w:spacing w:val="80"/>
          <w:sz w:val="20"/>
        </w:rPr>
        <w:t> </w:t>
      </w:r>
      <w:r>
        <w:rPr>
          <w:color w:val="231F20"/>
          <w:sz w:val="20"/>
        </w:rPr>
        <w:t>were</w:t>
      </w:r>
      <w:r>
        <w:rPr>
          <w:color w:val="231F20"/>
          <w:spacing w:val="80"/>
          <w:sz w:val="20"/>
        </w:rPr>
        <w:t> </w:t>
      </w:r>
      <w:r>
        <w:rPr>
          <w:color w:val="231F20"/>
          <w:sz w:val="20"/>
        </w:rPr>
        <w:t>given</w:t>
      </w:r>
      <w:r>
        <w:rPr>
          <w:color w:val="231F20"/>
          <w:spacing w:val="80"/>
          <w:sz w:val="20"/>
        </w:rPr>
        <w:t> </w:t>
      </w:r>
      <w:r>
        <w:rPr>
          <w:color w:val="231F20"/>
          <w:sz w:val="20"/>
        </w:rPr>
        <w:t>said</w:t>
      </w:r>
      <w:r>
        <w:rPr>
          <w:color w:val="231F20"/>
          <w:spacing w:val="80"/>
          <w:sz w:val="20"/>
        </w:rPr>
        <w:t> </w:t>
      </w:r>
      <w:r>
        <w:rPr>
          <w:color w:val="231F20"/>
          <w:sz w:val="20"/>
        </w:rPr>
        <w:t>super</w:t>
      </w:r>
      <w:r>
        <w:rPr>
          <w:color w:val="231F20"/>
          <w:spacing w:val="80"/>
          <w:sz w:val="20"/>
        </w:rPr>
        <w:t> </w:t>
      </w:r>
      <w:r>
        <w:rPr>
          <w:color w:val="231F20"/>
          <w:sz w:val="20"/>
        </w:rPr>
        <w:t>funds</w:t>
      </w:r>
      <w:r>
        <w:rPr>
          <w:color w:val="231F20"/>
          <w:spacing w:val="80"/>
          <w:sz w:val="20"/>
        </w:rPr>
        <w:t> </w:t>
      </w:r>
      <w:r>
        <w:rPr>
          <w:color w:val="231F20"/>
          <w:sz w:val="20"/>
        </w:rPr>
        <w:t>can't</w:t>
      </w:r>
      <w:r>
        <w:rPr>
          <w:color w:val="231F20"/>
          <w:spacing w:val="80"/>
          <w:sz w:val="20"/>
        </w:rPr>
        <w:t> </w:t>
      </w:r>
      <w:r>
        <w:rPr>
          <w:color w:val="231F20"/>
          <w:sz w:val="20"/>
        </w:rPr>
        <w:t>provide non-retirement benefits.</w:t>
      </w:r>
    </w:p>
    <w:p>
      <w:pPr>
        <w:pStyle w:val="ListParagraph"/>
        <w:numPr>
          <w:ilvl w:val="0"/>
          <w:numId w:val="1"/>
        </w:numPr>
        <w:tabs>
          <w:tab w:pos="533" w:val="left" w:leader="none"/>
        </w:tabs>
        <w:spacing w:line="276" w:lineRule="auto" w:before="0" w:after="0"/>
        <w:ind w:left="533" w:right="40" w:hanging="360"/>
        <w:jc w:val="both"/>
        <w:rPr>
          <w:color w:val="231F20"/>
          <w:sz w:val="20"/>
        </w:rPr>
      </w:pPr>
      <w:r>
        <w:rPr>
          <w:color w:val="231F20"/>
          <w:sz w:val="20"/>
        </w:rPr>
        <w:t>The withdrawals were taxed as part of their personal income. However, the Tribunal cancelled (remitted) the penalties in full.</w:t>
      </w:r>
    </w:p>
    <w:p>
      <w:pPr>
        <w:pStyle w:val="BodyText"/>
        <w:spacing w:before="11" w:after="25"/>
        <w:rPr>
          <w:sz w:val="3"/>
        </w:rPr>
      </w:pPr>
      <w:r>
        <w:rPr/>
        <w:br w:type="column"/>
      </w:r>
      <w:r>
        <w:rPr>
          <w:sz w:val="3"/>
        </w:rPr>
      </w:r>
    </w:p>
    <w:p>
      <w:pPr>
        <w:spacing w:line="240" w:lineRule="auto"/>
        <w:ind w:left="171" w:right="0" w:firstLine="0"/>
        <w:rPr>
          <w:sz w:val="20"/>
        </w:rPr>
      </w:pPr>
      <w:r>
        <w:rPr>
          <w:sz w:val="20"/>
        </w:rPr>
        <mc:AlternateContent>
          <mc:Choice Requires="wps">
            <w:drawing>
              <wp:inline distT="0" distB="0" distL="0" distR="0">
                <wp:extent cx="3143250" cy="539115"/>
                <wp:effectExtent l="0" t="0" r="0" b="0"/>
                <wp:docPr id="13" name="Textbox 13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3" name="Textbox 13"/>
                      <wps:cNvSpPr txBox="1"/>
                      <wps:spPr>
                        <a:xfrm>
                          <a:off x="0" y="0"/>
                          <a:ext cx="3143250" cy="539115"/>
                        </a:xfrm>
                        <a:prstGeom prst="rect">
                          <a:avLst/>
                        </a:prstGeom>
                        <a:solidFill>
                          <a:srgbClr val="019BD7"/>
                        </a:solidFill>
                      </wps:spPr>
                      <wps:txbx>
                        <w:txbxContent>
                          <w:p>
                            <w:pPr>
                              <w:spacing w:line="235" w:lineRule="auto" w:before="109"/>
                              <w:ind w:left="189" w:right="0" w:firstLine="0"/>
                              <w:jc w:val="left"/>
                              <w:rPr>
                                <w:b/>
                                <w:color w:val="000000"/>
                                <w:sz w:val="28"/>
                              </w:rPr>
                            </w:pPr>
                            <w:r>
                              <w:rPr>
                                <w:b/>
                                <w:color w:val="FFFFFF"/>
                                <w:sz w:val="28"/>
                              </w:rPr>
                              <w:t>Government</w:t>
                            </w:r>
                            <w:r>
                              <w:rPr>
                                <w:b/>
                                <w:color w:val="FFFFFF"/>
                                <w:spacing w:val="-14"/>
                                <w:sz w:val="28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FFFFFF"/>
                                <w:sz w:val="28"/>
                              </w:rPr>
                              <w:t>stops</w:t>
                            </w:r>
                            <w:r>
                              <w:rPr>
                                <w:b/>
                                <w:color w:val="FFFFFF"/>
                                <w:spacing w:val="-14"/>
                                <w:sz w:val="28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FFFFFF"/>
                                <w:sz w:val="28"/>
                              </w:rPr>
                              <w:t>new</w:t>
                            </w:r>
                            <w:r>
                              <w:rPr>
                                <w:b/>
                                <w:color w:val="FFFFFF"/>
                                <w:spacing w:val="-15"/>
                                <w:sz w:val="28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FFFFFF"/>
                                <w:sz w:val="28"/>
                              </w:rPr>
                              <w:t>SMSF</w:t>
                            </w:r>
                            <w:r>
                              <w:rPr>
                                <w:b/>
                                <w:color w:val="FFFFFF"/>
                                <w:spacing w:val="-15"/>
                                <w:sz w:val="28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FFFFFF"/>
                                <w:sz w:val="28"/>
                              </w:rPr>
                              <w:t>borrowing to buy residential property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style="width:247.5pt;height:42.45pt;mso-position-horizontal-relative:char;mso-position-vertical-relative:line" type="#_x0000_t202" id="docshape11" filled="true" fillcolor="#019bd7" stroked="false">
                <w10:anchorlock/>
                <v:textbox inset="0,0,0,0">
                  <w:txbxContent>
                    <w:p>
                      <w:pPr>
                        <w:spacing w:line="235" w:lineRule="auto" w:before="109"/>
                        <w:ind w:left="189" w:right="0" w:firstLine="0"/>
                        <w:jc w:val="left"/>
                        <w:rPr>
                          <w:b/>
                          <w:color w:val="000000"/>
                          <w:sz w:val="28"/>
                        </w:rPr>
                      </w:pPr>
                      <w:r>
                        <w:rPr>
                          <w:b/>
                          <w:color w:val="FFFFFF"/>
                          <w:sz w:val="28"/>
                        </w:rPr>
                        <w:t>Government</w:t>
                      </w:r>
                      <w:r>
                        <w:rPr>
                          <w:b/>
                          <w:color w:val="FFFFFF"/>
                          <w:spacing w:val="-14"/>
                          <w:sz w:val="28"/>
                        </w:rPr>
                        <w:t> </w:t>
                      </w:r>
                      <w:r>
                        <w:rPr>
                          <w:b/>
                          <w:color w:val="FFFFFF"/>
                          <w:sz w:val="28"/>
                        </w:rPr>
                        <w:t>stops</w:t>
                      </w:r>
                      <w:r>
                        <w:rPr>
                          <w:b/>
                          <w:color w:val="FFFFFF"/>
                          <w:spacing w:val="-14"/>
                          <w:sz w:val="28"/>
                        </w:rPr>
                        <w:t> </w:t>
                      </w:r>
                      <w:r>
                        <w:rPr>
                          <w:b/>
                          <w:color w:val="FFFFFF"/>
                          <w:sz w:val="28"/>
                        </w:rPr>
                        <w:t>new</w:t>
                      </w:r>
                      <w:r>
                        <w:rPr>
                          <w:b/>
                          <w:color w:val="FFFFFF"/>
                          <w:spacing w:val="-15"/>
                          <w:sz w:val="28"/>
                        </w:rPr>
                        <w:t> </w:t>
                      </w:r>
                      <w:r>
                        <w:rPr>
                          <w:b/>
                          <w:color w:val="FFFFFF"/>
                          <w:sz w:val="28"/>
                        </w:rPr>
                        <w:t>SMSF</w:t>
                      </w:r>
                      <w:r>
                        <w:rPr>
                          <w:b/>
                          <w:color w:val="FFFFFF"/>
                          <w:spacing w:val="-15"/>
                          <w:sz w:val="28"/>
                        </w:rPr>
                        <w:t> </w:t>
                      </w:r>
                      <w:r>
                        <w:rPr>
                          <w:b/>
                          <w:color w:val="FFFFFF"/>
                          <w:sz w:val="28"/>
                        </w:rPr>
                        <w:t>borrowing to buy residential property</w:t>
                      </w:r>
                    </w:p>
                  </w:txbxContent>
                </v:textbox>
                <v:fill type="solid"/>
              </v:shape>
            </w:pict>
          </mc:Fallback>
        </mc:AlternateContent>
      </w:r>
      <w:r>
        <w:rPr>
          <w:sz w:val="20"/>
        </w:rPr>
      </w:r>
    </w:p>
    <w:p>
      <w:pPr>
        <w:pStyle w:val="BodyText"/>
        <w:spacing w:line="276" w:lineRule="auto" w:before="79"/>
        <w:ind w:left="173" w:right="128"/>
        <w:jc w:val="both"/>
      </w:pPr>
      <w:r>
        <w:rPr>
          <w:b/>
          <w:color w:val="231F20"/>
        </w:rPr>
        <w:t>From 10 August 2026</w:t>
      </w:r>
      <w:r>
        <w:rPr>
          <w:color w:val="231F20"/>
        </w:rPr>
        <w:t>, any limited recourse borrowing arrangement (LRBA – the special type of loan an SMSF can use</w:t>
      </w:r>
      <w:r>
        <w:rPr>
          <w:color w:val="231F20"/>
          <w:spacing w:val="-7"/>
        </w:rPr>
        <w:t> </w:t>
      </w:r>
      <w:r>
        <w:rPr>
          <w:color w:val="231F20"/>
        </w:rPr>
        <w:t>to</w:t>
      </w:r>
      <w:r>
        <w:rPr>
          <w:color w:val="231F20"/>
          <w:spacing w:val="-7"/>
        </w:rPr>
        <w:t> </w:t>
      </w:r>
      <w:r>
        <w:rPr>
          <w:color w:val="231F20"/>
        </w:rPr>
        <w:t>buy</w:t>
      </w:r>
      <w:r>
        <w:rPr>
          <w:color w:val="231F20"/>
          <w:spacing w:val="-7"/>
        </w:rPr>
        <w:t> </w:t>
      </w:r>
      <w:r>
        <w:rPr>
          <w:color w:val="231F20"/>
        </w:rPr>
        <w:t>an</w:t>
      </w:r>
      <w:r>
        <w:rPr>
          <w:color w:val="231F20"/>
          <w:spacing w:val="-7"/>
        </w:rPr>
        <w:t> </w:t>
      </w:r>
      <w:r>
        <w:rPr>
          <w:color w:val="231F20"/>
        </w:rPr>
        <w:t>asset)</w:t>
      </w:r>
      <w:r>
        <w:rPr>
          <w:color w:val="231F20"/>
          <w:spacing w:val="-7"/>
        </w:rPr>
        <w:t> </w:t>
      </w:r>
      <w:r>
        <w:rPr>
          <w:color w:val="231F20"/>
        </w:rPr>
        <w:t>entered</w:t>
      </w:r>
      <w:r>
        <w:rPr>
          <w:color w:val="231F20"/>
          <w:spacing w:val="-7"/>
        </w:rPr>
        <w:t> </w:t>
      </w:r>
      <w:r>
        <w:rPr>
          <w:color w:val="231F20"/>
        </w:rPr>
        <w:t>into</w:t>
      </w:r>
      <w:r>
        <w:rPr>
          <w:color w:val="231F20"/>
          <w:spacing w:val="-7"/>
        </w:rPr>
        <w:t> </w:t>
      </w:r>
      <w:r>
        <w:rPr>
          <w:color w:val="231F20"/>
        </w:rPr>
        <w:t>to</w:t>
      </w:r>
      <w:r>
        <w:rPr>
          <w:color w:val="231F20"/>
          <w:spacing w:val="-7"/>
        </w:rPr>
        <w:t> </w:t>
      </w:r>
      <w:r>
        <w:rPr>
          <w:color w:val="231F20"/>
        </w:rPr>
        <w:t>acquire</w:t>
      </w:r>
      <w:r>
        <w:rPr>
          <w:color w:val="231F20"/>
          <w:spacing w:val="-7"/>
        </w:rPr>
        <w:t> </w:t>
      </w:r>
      <w:r>
        <w:rPr>
          <w:color w:val="231F20"/>
        </w:rPr>
        <w:t>real</w:t>
      </w:r>
      <w:r>
        <w:rPr>
          <w:color w:val="231F20"/>
          <w:spacing w:val="-7"/>
        </w:rPr>
        <w:t> </w:t>
      </w:r>
      <w:r>
        <w:rPr>
          <w:color w:val="231F20"/>
        </w:rPr>
        <w:t>property</w:t>
      </w:r>
      <w:r>
        <w:rPr>
          <w:color w:val="231F20"/>
          <w:spacing w:val="-7"/>
        </w:rPr>
        <w:t> </w:t>
      </w:r>
      <w:r>
        <w:rPr>
          <w:color w:val="231F20"/>
        </w:rPr>
        <w:t>can only be used to acquire business real property, which is broadly</w:t>
      </w:r>
      <w:r>
        <w:rPr>
          <w:color w:val="231F20"/>
          <w:spacing w:val="-7"/>
        </w:rPr>
        <w:t> </w:t>
      </w:r>
      <w:r>
        <w:rPr>
          <w:color w:val="231F20"/>
        </w:rPr>
        <w:t>land</w:t>
      </w:r>
      <w:r>
        <w:rPr>
          <w:color w:val="231F20"/>
          <w:spacing w:val="-7"/>
        </w:rPr>
        <w:t> </w:t>
      </w:r>
      <w:r>
        <w:rPr>
          <w:color w:val="231F20"/>
        </w:rPr>
        <w:t>and</w:t>
      </w:r>
      <w:r>
        <w:rPr>
          <w:color w:val="231F20"/>
          <w:spacing w:val="-7"/>
        </w:rPr>
        <w:t> </w:t>
      </w:r>
      <w:r>
        <w:rPr>
          <w:color w:val="231F20"/>
        </w:rPr>
        <w:t>buildings</w:t>
      </w:r>
      <w:r>
        <w:rPr>
          <w:color w:val="231F20"/>
          <w:spacing w:val="-7"/>
        </w:rPr>
        <w:t> </w:t>
      </w:r>
      <w:r>
        <w:rPr>
          <w:color w:val="231F20"/>
        </w:rPr>
        <w:t>used</w:t>
      </w:r>
      <w:r>
        <w:rPr>
          <w:color w:val="231F20"/>
          <w:spacing w:val="-7"/>
        </w:rPr>
        <w:t> </w:t>
      </w:r>
      <w:r>
        <w:rPr>
          <w:color w:val="231F20"/>
        </w:rPr>
        <w:t>wholly</w:t>
      </w:r>
      <w:r>
        <w:rPr>
          <w:color w:val="231F20"/>
          <w:spacing w:val="-7"/>
        </w:rPr>
        <w:t> </w:t>
      </w:r>
      <w:r>
        <w:rPr>
          <w:color w:val="231F20"/>
        </w:rPr>
        <w:t>and</w:t>
      </w:r>
      <w:r>
        <w:rPr>
          <w:color w:val="231F20"/>
          <w:spacing w:val="-7"/>
        </w:rPr>
        <w:t> </w:t>
      </w:r>
      <w:r>
        <w:rPr>
          <w:color w:val="231F20"/>
        </w:rPr>
        <w:t>exclusively</w:t>
      </w:r>
      <w:r>
        <w:rPr>
          <w:color w:val="231F20"/>
          <w:spacing w:val="-7"/>
        </w:rPr>
        <w:t> </w:t>
      </w:r>
      <w:r>
        <w:rPr>
          <w:color w:val="231F20"/>
        </w:rPr>
        <w:t>in</w:t>
      </w:r>
      <w:r>
        <w:rPr>
          <w:color w:val="231F20"/>
          <w:spacing w:val="-7"/>
        </w:rPr>
        <w:t> </w:t>
      </w:r>
      <w:r>
        <w:rPr>
          <w:color w:val="231F20"/>
        </w:rPr>
        <w:t>one or more businesses.</w:t>
      </w:r>
    </w:p>
    <w:p>
      <w:pPr>
        <w:pStyle w:val="BodyText"/>
        <w:spacing w:before="31"/>
      </w:pPr>
    </w:p>
    <w:p>
      <w:pPr>
        <w:spacing w:before="0"/>
        <w:ind w:left="173" w:right="0" w:firstLine="0"/>
        <w:jc w:val="left"/>
        <w:rPr>
          <w:sz w:val="20"/>
        </w:rPr>
      </w:pPr>
      <w:r>
        <w:rPr>
          <w:b/>
          <w:color w:val="231F20"/>
          <w:sz w:val="20"/>
        </w:rPr>
        <w:t>What</w:t>
      </w:r>
      <w:r>
        <w:rPr>
          <w:b/>
          <w:color w:val="231F20"/>
          <w:spacing w:val="-3"/>
          <w:sz w:val="20"/>
        </w:rPr>
        <w:t> </w:t>
      </w:r>
      <w:r>
        <w:rPr>
          <w:b/>
          <w:color w:val="231F20"/>
          <w:sz w:val="20"/>
        </w:rPr>
        <w:t>is</w:t>
      </w:r>
      <w:r>
        <w:rPr>
          <w:b/>
          <w:color w:val="231F20"/>
          <w:spacing w:val="-2"/>
          <w:sz w:val="20"/>
        </w:rPr>
        <w:t> </w:t>
      </w:r>
      <w:r>
        <w:rPr>
          <w:b/>
          <w:color w:val="231F20"/>
          <w:sz w:val="20"/>
        </w:rPr>
        <w:t>not</w:t>
      </w:r>
      <w:r>
        <w:rPr>
          <w:b/>
          <w:color w:val="231F20"/>
          <w:spacing w:val="-3"/>
          <w:sz w:val="20"/>
        </w:rPr>
        <w:t> </w:t>
      </w:r>
      <w:r>
        <w:rPr>
          <w:b/>
          <w:color w:val="231F20"/>
          <w:sz w:val="20"/>
        </w:rPr>
        <w:t>affected?</w:t>
      </w:r>
      <w:r>
        <w:rPr>
          <w:b/>
          <w:color w:val="231F20"/>
          <w:spacing w:val="-3"/>
          <w:sz w:val="20"/>
        </w:rPr>
        <w:t> </w:t>
      </w:r>
      <w:r>
        <w:rPr>
          <w:color w:val="231F20"/>
          <w:sz w:val="20"/>
        </w:rPr>
        <w:t>The</w:t>
      </w:r>
      <w:r>
        <w:rPr>
          <w:color w:val="231F20"/>
          <w:spacing w:val="-3"/>
          <w:sz w:val="20"/>
        </w:rPr>
        <w:t> </w:t>
      </w:r>
      <w:r>
        <w:rPr>
          <w:color w:val="231F20"/>
          <w:sz w:val="20"/>
        </w:rPr>
        <w:t>new</w:t>
      </w:r>
      <w:r>
        <w:rPr>
          <w:color w:val="231F20"/>
          <w:spacing w:val="-2"/>
          <w:sz w:val="20"/>
        </w:rPr>
        <w:t> </w:t>
      </w:r>
      <w:r>
        <w:rPr>
          <w:color w:val="231F20"/>
          <w:sz w:val="20"/>
        </w:rPr>
        <w:t>rule</w:t>
      </w:r>
      <w:r>
        <w:rPr>
          <w:color w:val="231F20"/>
          <w:spacing w:val="-3"/>
          <w:sz w:val="20"/>
        </w:rPr>
        <w:t> </w:t>
      </w:r>
      <w:r>
        <w:rPr>
          <w:color w:val="231F20"/>
          <w:sz w:val="20"/>
        </w:rPr>
        <w:t>does</w:t>
      </w:r>
      <w:r>
        <w:rPr>
          <w:color w:val="231F20"/>
          <w:spacing w:val="-3"/>
          <w:sz w:val="20"/>
        </w:rPr>
        <w:t> </w:t>
      </w:r>
      <w:r>
        <w:rPr>
          <w:color w:val="231F20"/>
          <w:sz w:val="20"/>
        </w:rPr>
        <w:t>not</w:t>
      </w:r>
      <w:r>
        <w:rPr>
          <w:color w:val="231F20"/>
          <w:spacing w:val="-3"/>
          <w:sz w:val="20"/>
        </w:rPr>
        <w:t> </w:t>
      </w:r>
      <w:r>
        <w:rPr>
          <w:color w:val="231F20"/>
          <w:sz w:val="20"/>
        </w:rPr>
        <w:t>apply</w:t>
      </w:r>
      <w:r>
        <w:rPr>
          <w:color w:val="231F20"/>
          <w:spacing w:val="-2"/>
          <w:sz w:val="20"/>
        </w:rPr>
        <w:t> </w:t>
      </w:r>
      <w:r>
        <w:rPr>
          <w:color w:val="231F20"/>
          <w:spacing w:val="-5"/>
          <w:sz w:val="20"/>
        </w:rPr>
        <w:t>to:</w:t>
      </w:r>
    </w:p>
    <w:p>
      <w:pPr>
        <w:pStyle w:val="ListParagraph"/>
        <w:numPr>
          <w:ilvl w:val="0"/>
          <w:numId w:val="1"/>
        </w:numPr>
        <w:tabs>
          <w:tab w:pos="533" w:val="left" w:leader="none"/>
        </w:tabs>
        <w:spacing w:line="240" w:lineRule="auto" w:before="36" w:after="0"/>
        <w:ind w:left="533" w:right="0" w:hanging="360"/>
        <w:jc w:val="left"/>
        <w:rPr>
          <w:color w:val="231F20"/>
          <w:sz w:val="20"/>
        </w:rPr>
      </w:pPr>
      <w:r>
        <w:rPr>
          <w:color w:val="231F20"/>
          <w:sz w:val="20"/>
        </w:rPr>
        <w:t>Existing</w:t>
      </w:r>
      <w:r>
        <w:rPr>
          <w:color w:val="231F20"/>
          <w:spacing w:val="-7"/>
          <w:sz w:val="20"/>
        </w:rPr>
        <w:t> </w:t>
      </w:r>
      <w:r>
        <w:rPr>
          <w:color w:val="231F20"/>
          <w:sz w:val="20"/>
        </w:rPr>
        <w:t>LRBAs</w:t>
      </w:r>
      <w:r>
        <w:rPr>
          <w:color w:val="231F20"/>
          <w:spacing w:val="-7"/>
          <w:sz w:val="20"/>
        </w:rPr>
        <w:t> </w:t>
      </w:r>
      <w:r>
        <w:rPr>
          <w:color w:val="231F20"/>
          <w:sz w:val="20"/>
        </w:rPr>
        <w:t>entered</w:t>
      </w:r>
      <w:r>
        <w:rPr>
          <w:color w:val="231F20"/>
          <w:spacing w:val="-7"/>
          <w:sz w:val="20"/>
        </w:rPr>
        <w:t> </w:t>
      </w:r>
      <w:r>
        <w:rPr>
          <w:color w:val="231F20"/>
          <w:sz w:val="20"/>
        </w:rPr>
        <w:t>into</w:t>
      </w:r>
      <w:r>
        <w:rPr>
          <w:color w:val="231F20"/>
          <w:spacing w:val="-8"/>
          <w:sz w:val="20"/>
        </w:rPr>
        <w:t> </w:t>
      </w:r>
      <w:r>
        <w:rPr>
          <w:color w:val="231F20"/>
          <w:sz w:val="20"/>
        </w:rPr>
        <w:t>before</w:t>
      </w:r>
      <w:r>
        <w:rPr>
          <w:color w:val="231F20"/>
          <w:spacing w:val="-6"/>
          <w:sz w:val="20"/>
        </w:rPr>
        <w:t> </w:t>
      </w:r>
      <w:r>
        <w:rPr>
          <w:color w:val="231F20"/>
          <w:sz w:val="20"/>
        </w:rPr>
        <w:t>10</w:t>
      </w:r>
      <w:r>
        <w:rPr>
          <w:color w:val="231F20"/>
          <w:spacing w:val="-6"/>
          <w:sz w:val="20"/>
        </w:rPr>
        <w:t> </w:t>
      </w:r>
      <w:r>
        <w:rPr>
          <w:color w:val="231F20"/>
          <w:sz w:val="20"/>
        </w:rPr>
        <w:t>August</w:t>
      </w:r>
      <w:r>
        <w:rPr>
          <w:color w:val="231F20"/>
          <w:spacing w:val="-7"/>
          <w:sz w:val="20"/>
        </w:rPr>
        <w:t> </w:t>
      </w:r>
      <w:r>
        <w:rPr>
          <w:color w:val="231F20"/>
          <w:spacing w:val="-2"/>
          <w:sz w:val="20"/>
        </w:rPr>
        <w:t>2026.</w:t>
      </w:r>
    </w:p>
    <w:p>
      <w:pPr>
        <w:pStyle w:val="ListParagraph"/>
        <w:numPr>
          <w:ilvl w:val="0"/>
          <w:numId w:val="1"/>
        </w:numPr>
        <w:tabs>
          <w:tab w:pos="533" w:val="left" w:leader="none"/>
        </w:tabs>
        <w:spacing w:line="240" w:lineRule="auto" w:before="36" w:after="0"/>
        <w:ind w:left="533" w:right="0" w:hanging="360"/>
        <w:jc w:val="left"/>
        <w:rPr>
          <w:color w:val="231F20"/>
          <w:sz w:val="20"/>
        </w:rPr>
      </w:pPr>
      <w:r>
        <w:rPr>
          <w:color w:val="231F20"/>
          <w:sz w:val="20"/>
        </w:rPr>
        <w:t>Refinancing</w:t>
      </w:r>
      <w:r>
        <w:rPr>
          <w:color w:val="231F20"/>
          <w:spacing w:val="-7"/>
          <w:sz w:val="20"/>
        </w:rPr>
        <w:t> </w:t>
      </w:r>
      <w:r>
        <w:rPr>
          <w:color w:val="231F20"/>
          <w:sz w:val="20"/>
        </w:rPr>
        <w:t>of</w:t>
      </w:r>
      <w:r>
        <w:rPr>
          <w:color w:val="231F20"/>
          <w:spacing w:val="-7"/>
          <w:sz w:val="20"/>
        </w:rPr>
        <w:t> </w:t>
      </w:r>
      <w:r>
        <w:rPr>
          <w:color w:val="231F20"/>
          <w:sz w:val="20"/>
        </w:rPr>
        <w:t>those</w:t>
      </w:r>
      <w:r>
        <w:rPr>
          <w:color w:val="231F20"/>
          <w:spacing w:val="-7"/>
          <w:sz w:val="20"/>
        </w:rPr>
        <w:t> </w:t>
      </w:r>
      <w:r>
        <w:rPr>
          <w:color w:val="231F20"/>
          <w:sz w:val="20"/>
        </w:rPr>
        <w:t>existing</w:t>
      </w:r>
      <w:r>
        <w:rPr>
          <w:color w:val="231F20"/>
          <w:spacing w:val="-6"/>
          <w:sz w:val="20"/>
        </w:rPr>
        <w:t> </w:t>
      </w:r>
      <w:r>
        <w:rPr>
          <w:color w:val="231F20"/>
          <w:spacing w:val="-2"/>
          <w:sz w:val="20"/>
        </w:rPr>
        <w:t>LRBAs.</w:t>
      </w:r>
    </w:p>
    <w:p>
      <w:pPr>
        <w:pStyle w:val="ListParagraph"/>
        <w:numPr>
          <w:ilvl w:val="0"/>
          <w:numId w:val="1"/>
        </w:numPr>
        <w:tabs>
          <w:tab w:pos="533" w:val="left" w:leader="none"/>
        </w:tabs>
        <w:spacing w:line="276" w:lineRule="auto" w:before="35" w:after="0"/>
        <w:ind w:left="533" w:right="130" w:hanging="360"/>
        <w:jc w:val="both"/>
        <w:rPr>
          <w:color w:val="231F20"/>
          <w:sz w:val="20"/>
        </w:rPr>
      </w:pPr>
      <w:r>
        <w:rPr>
          <w:color w:val="231F20"/>
          <w:sz w:val="20"/>
        </w:rPr>
        <w:t>A binding contract to buy property that was exchanged before</w:t>
      </w:r>
      <w:r>
        <w:rPr>
          <w:color w:val="231F20"/>
          <w:spacing w:val="-10"/>
          <w:sz w:val="20"/>
        </w:rPr>
        <w:t> </w:t>
      </w:r>
      <w:r>
        <w:rPr>
          <w:color w:val="231F20"/>
          <w:sz w:val="20"/>
        </w:rPr>
        <w:t>10</w:t>
      </w:r>
      <w:r>
        <w:rPr>
          <w:color w:val="231F20"/>
          <w:spacing w:val="-10"/>
          <w:sz w:val="20"/>
        </w:rPr>
        <w:t> </w:t>
      </w:r>
      <w:r>
        <w:rPr>
          <w:color w:val="231F20"/>
          <w:sz w:val="20"/>
        </w:rPr>
        <w:t>August</w:t>
      </w:r>
      <w:r>
        <w:rPr>
          <w:color w:val="231F20"/>
          <w:spacing w:val="-10"/>
          <w:sz w:val="20"/>
        </w:rPr>
        <w:t> </w:t>
      </w:r>
      <w:r>
        <w:rPr>
          <w:color w:val="231F20"/>
          <w:sz w:val="20"/>
        </w:rPr>
        <w:t>2026,</w:t>
      </w:r>
      <w:r>
        <w:rPr>
          <w:color w:val="231F20"/>
          <w:spacing w:val="-10"/>
          <w:sz w:val="20"/>
        </w:rPr>
        <w:t> </w:t>
      </w:r>
      <w:r>
        <w:rPr>
          <w:color w:val="231F20"/>
          <w:sz w:val="20"/>
        </w:rPr>
        <w:t>even</w:t>
      </w:r>
      <w:r>
        <w:rPr>
          <w:color w:val="231F20"/>
          <w:spacing w:val="-10"/>
          <w:sz w:val="20"/>
        </w:rPr>
        <w:t> </w:t>
      </w:r>
      <w:r>
        <w:rPr>
          <w:color w:val="231F20"/>
          <w:sz w:val="20"/>
        </w:rPr>
        <w:t>if</w:t>
      </w:r>
      <w:r>
        <w:rPr>
          <w:color w:val="231F20"/>
          <w:spacing w:val="-10"/>
          <w:sz w:val="20"/>
        </w:rPr>
        <w:t> </w:t>
      </w:r>
      <w:r>
        <w:rPr>
          <w:color w:val="231F20"/>
          <w:sz w:val="20"/>
        </w:rPr>
        <w:t>the</w:t>
      </w:r>
      <w:r>
        <w:rPr>
          <w:color w:val="231F20"/>
          <w:spacing w:val="-10"/>
          <w:sz w:val="20"/>
        </w:rPr>
        <w:t> </w:t>
      </w:r>
      <w:r>
        <w:rPr>
          <w:color w:val="231F20"/>
          <w:sz w:val="20"/>
        </w:rPr>
        <w:t>contract</w:t>
      </w:r>
      <w:r>
        <w:rPr>
          <w:color w:val="231F20"/>
          <w:spacing w:val="-10"/>
          <w:sz w:val="20"/>
        </w:rPr>
        <w:t> </w:t>
      </w:r>
      <w:r>
        <w:rPr>
          <w:color w:val="231F20"/>
          <w:sz w:val="20"/>
        </w:rPr>
        <w:t>settles</w:t>
      </w:r>
      <w:r>
        <w:rPr>
          <w:color w:val="231F20"/>
          <w:spacing w:val="-10"/>
          <w:sz w:val="20"/>
        </w:rPr>
        <w:t> </w:t>
      </w:r>
      <w:r>
        <w:rPr>
          <w:color w:val="231F20"/>
          <w:sz w:val="20"/>
        </w:rPr>
        <w:t>or</w:t>
      </w:r>
      <w:r>
        <w:rPr>
          <w:color w:val="231F20"/>
          <w:spacing w:val="-10"/>
          <w:sz w:val="20"/>
        </w:rPr>
        <w:t> </w:t>
      </w:r>
      <w:r>
        <w:rPr>
          <w:color w:val="231F20"/>
          <w:sz w:val="20"/>
        </w:rPr>
        <w:t>the loan is set up after that date.</w:t>
      </w:r>
    </w:p>
    <w:p>
      <w:pPr>
        <w:pStyle w:val="BodyText"/>
        <w:spacing w:before="34"/>
      </w:pPr>
    </w:p>
    <w:p>
      <w:pPr>
        <w:spacing w:line="276" w:lineRule="auto" w:before="0"/>
        <w:ind w:left="173" w:right="129" w:firstLine="0"/>
        <w:jc w:val="both"/>
        <w:rPr>
          <w:b/>
          <w:sz w:val="20"/>
        </w:rPr>
      </w:pPr>
      <w:r>
        <w:rPr>
          <w:b/>
          <w:color w:val="231F20"/>
          <w:sz w:val="20"/>
        </w:rPr>
        <w:t>SMSFR</w:t>
      </w:r>
      <w:r>
        <w:rPr>
          <w:b/>
          <w:color w:val="231F20"/>
          <w:spacing w:val="-5"/>
          <w:sz w:val="20"/>
        </w:rPr>
        <w:t> </w:t>
      </w:r>
      <w:r>
        <w:rPr>
          <w:b/>
          <w:color w:val="231F20"/>
          <w:sz w:val="20"/>
        </w:rPr>
        <w:t>2009/1</w:t>
      </w:r>
      <w:r>
        <w:rPr>
          <w:b/>
          <w:color w:val="231F20"/>
          <w:spacing w:val="-5"/>
          <w:sz w:val="20"/>
        </w:rPr>
        <w:t> </w:t>
      </w:r>
      <w:r>
        <w:rPr>
          <w:color w:val="231F20"/>
          <w:sz w:val="20"/>
        </w:rPr>
        <w:t>is</w:t>
      </w:r>
      <w:r>
        <w:rPr>
          <w:color w:val="231F20"/>
          <w:spacing w:val="-5"/>
          <w:sz w:val="20"/>
        </w:rPr>
        <w:t> </w:t>
      </w:r>
      <w:r>
        <w:rPr>
          <w:color w:val="231F20"/>
          <w:sz w:val="20"/>
        </w:rPr>
        <w:t>the</w:t>
      </w:r>
      <w:r>
        <w:rPr>
          <w:color w:val="231F20"/>
          <w:spacing w:val="-5"/>
          <w:sz w:val="20"/>
        </w:rPr>
        <w:t> </w:t>
      </w:r>
      <w:r>
        <w:rPr>
          <w:color w:val="231F20"/>
          <w:sz w:val="20"/>
        </w:rPr>
        <w:t>ATO</w:t>
      </w:r>
      <w:r>
        <w:rPr>
          <w:color w:val="231F20"/>
          <w:spacing w:val="-5"/>
          <w:sz w:val="20"/>
        </w:rPr>
        <w:t> </w:t>
      </w:r>
      <w:r>
        <w:rPr>
          <w:color w:val="231F20"/>
          <w:sz w:val="20"/>
        </w:rPr>
        <w:t>ruling</w:t>
      </w:r>
      <w:r>
        <w:rPr>
          <w:color w:val="231F20"/>
          <w:spacing w:val="-5"/>
          <w:sz w:val="20"/>
        </w:rPr>
        <w:t> </w:t>
      </w:r>
      <w:r>
        <w:rPr>
          <w:color w:val="231F20"/>
          <w:sz w:val="20"/>
        </w:rPr>
        <w:t>that</w:t>
      </w:r>
      <w:r>
        <w:rPr>
          <w:color w:val="231F20"/>
          <w:spacing w:val="-5"/>
          <w:sz w:val="20"/>
        </w:rPr>
        <w:t> </w:t>
      </w:r>
      <w:r>
        <w:rPr>
          <w:color w:val="231F20"/>
          <w:sz w:val="20"/>
        </w:rPr>
        <w:t>explains</w:t>
      </w:r>
      <w:r>
        <w:rPr>
          <w:color w:val="231F20"/>
          <w:spacing w:val="-5"/>
          <w:sz w:val="20"/>
        </w:rPr>
        <w:t> </w:t>
      </w:r>
      <w:r>
        <w:rPr>
          <w:color w:val="231F20"/>
          <w:sz w:val="20"/>
        </w:rPr>
        <w:t>the</w:t>
      </w:r>
      <w:r>
        <w:rPr>
          <w:color w:val="231F20"/>
          <w:spacing w:val="-5"/>
          <w:sz w:val="20"/>
        </w:rPr>
        <w:t> </w:t>
      </w:r>
      <w:r>
        <w:rPr>
          <w:color w:val="231F20"/>
          <w:sz w:val="20"/>
        </w:rPr>
        <w:t>meaning</w:t>
      </w:r>
      <w:r>
        <w:rPr>
          <w:color w:val="231F20"/>
          <w:spacing w:val="-5"/>
          <w:sz w:val="20"/>
        </w:rPr>
        <w:t> </w:t>
      </w:r>
      <w:r>
        <w:rPr>
          <w:color w:val="231F20"/>
          <w:sz w:val="20"/>
        </w:rPr>
        <w:t>of business real property for the purposes of the </w:t>
      </w:r>
      <w:r>
        <w:rPr>
          <w:b/>
          <w:color w:val="231F20"/>
          <w:sz w:val="20"/>
        </w:rPr>
        <w:t>Superannuation Industry (Supervision) Act 1993 (SIS Act).</w:t>
      </w:r>
    </w:p>
    <w:p>
      <w:pPr>
        <w:pStyle w:val="BodyText"/>
        <w:spacing w:before="8"/>
        <w:rPr>
          <w:b/>
          <w:sz w:val="14"/>
        </w:rPr>
      </w:pPr>
      <w:r>
        <w:rPr>
          <w:b/>
          <w:sz w:val="14"/>
        </w:rPr>
        <mc:AlternateContent>
          <mc:Choice Requires="wps">
            <w:drawing>
              <wp:anchor distT="0" distB="0" distL="0" distR="0" allowOverlap="1" layoutInCell="1" locked="0" behindDoc="1" simplePos="0" relativeHeight="487592960">
                <wp:simplePos x="0" y="0"/>
                <wp:positionH relativeFrom="page">
                  <wp:posOffset>4000195</wp:posOffset>
                </wp:positionH>
                <wp:positionV relativeFrom="paragraph">
                  <wp:posOffset>129334</wp:posOffset>
                </wp:positionV>
                <wp:extent cx="3115310" cy="539115"/>
                <wp:effectExtent l="0" t="0" r="0" b="0"/>
                <wp:wrapTopAndBottom/>
                <wp:docPr id="14" name="Textbox 14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4" name="Textbox 14"/>
                      <wps:cNvSpPr txBox="1"/>
                      <wps:spPr>
                        <a:xfrm>
                          <a:off x="0" y="0"/>
                          <a:ext cx="3115310" cy="539115"/>
                        </a:xfrm>
                        <a:prstGeom prst="rect">
                          <a:avLst/>
                        </a:prstGeom>
                        <a:solidFill>
                          <a:srgbClr val="019BD7"/>
                        </a:solidFill>
                      </wps:spPr>
                      <wps:txbx>
                        <w:txbxContent>
                          <w:p>
                            <w:pPr>
                              <w:spacing w:line="235" w:lineRule="auto" w:before="69"/>
                              <w:ind w:left="229" w:right="0" w:firstLine="0"/>
                              <w:jc w:val="left"/>
                              <w:rPr>
                                <w:b/>
                                <w:color w:val="000000"/>
                                <w:sz w:val="28"/>
                              </w:rPr>
                            </w:pPr>
                            <w:r>
                              <w:rPr>
                                <w:b/>
                                <w:color w:val="FFFFFF"/>
                                <w:sz w:val="28"/>
                              </w:rPr>
                              <w:t>What</w:t>
                            </w:r>
                            <w:r>
                              <w:rPr>
                                <w:b/>
                                <w:color w:val="FFFFFF"/>
                                <w:spacing w:val="-9"/>
                                <w:sz w:val="28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FFFFFF"/>
                                <w:sz w:val="28"/>
                              </w:rPr>
                              <w:t>business</w:t>
                            </w:r>
                            <w:r>
                              <w:rPr>
                                <w:b/>
                                <w:color w:val="FFFFFF"/>
                                <w:spacing w:val="-9"/>
                                <w:sz w:val="28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FFFFFF"/>
                                <w:sz w:val="28"/>
                              </w:rPr>
                              <w:t>real</w:t>
                            </w:r>
                            <w:r>
                              <w:rPr>
                                <w:b/>
                                <w:color w:val="FFFFFF"/>
                                <w:spacing w:val="-9"/>
                                <w:sz w:val="28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FFFFFF"/>
                                <w:sz w:val="28"/>
                              </w:rPr>
                              <w:t>property</w:t>
                            </w:r>
                            <w:r>
                              <w:rPr>
                                <w:b/>
                                <w:color w:val="FFFFFF"/>
                                <w:spacing w:val="-9"/>
                                <w:sz w:val="28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FFFFFF"/>
                                <w:sz w:val="28"/>
                              </w:rPr>
                              <w:t>means</w:t>
                            </w:r>
                            <w:r>
                              <w:rPr>
                                <w:b/>
                                <w:color w:val="FFFFFF"/>
                                <w:spacing w:val="-9"/>
                                <w:sz w:val="28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FFFFFF"/>
                                <w:sz w:val="28"/>
                              </w:rPr>
                              <w:t>in plain English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314.976013pt;margin-top:10.183812pt;width:245.3pt;height:42.45pt;mso-position-horizontal-relative:page;mso-position-vertical-relative:paragraph;z-index:-15723520;mso-wrap-distance-left:0;mso-wrap-distance-right:0" type="#_x0000_t202" id="docshape12" filled="true" fillcolor="#019bd7" stroked="false">
                <v:textbox inset="0,0,0,0">
                  <w:txbxContent>
                    <w:p>
                      <w:pPr>
                        <w:spacing w:line="235" w:lineRule="auto" w:before="69"/>
                        <w:ind w:left="229" w:right="0" w:firstLine="0"/>
                        <w:jc w:val="left"/>
                        <w:rPr>
                          <w:b/>
                          <w:color w:val="000000"/>
                          <w:sz w:val="28"/>
                        </w:rPr>
                      </w:pPr>
                      <w:r>
                        <w:rPr>
                          <w:b/>
                          <w:color w:val="FFFFFF"/>
                          <w:sz w:val="28"/>
                        </w:rPr>
                        <w:t>What</w:t>
                      </w:r>
                      <w:r>
                        <w:rPr>
                          <w:b/>
                          <w:color w:val="FFFFFF"/>
                          <w:spacing w:val="-9"/>
                          <w:sz w:val="28"/>
                        </w:rPr>
                        <w:t> </w:t>
                      </w:r>
                      <w:r>
                        <w:rPr>
                          <w:b/>
                          <w:color w:val="FFFFFF"/>
                          <w:sz w:val="28"/>
                        </w:rPr>
                        <w:t>business</w:t>
                      </w:r>
                      <w:r>
                        <w:rPr>
                          <w:b/>
                          <w:color w:val="FFFFFF"/>
                          <w:spacing w:val="-9"/>
                          <w:sz w:val="28"/>
                        </w:rPr>
                        <w:t> </w:t>
                      </w:r>
                      <w:r>
                        <w:rPr>
                          <w:b/>
                          <w:color w:val="FFFFFF"/>
                          <w:sz w:val="28"/>
                        </w:rPr>
                        <w:t>real</w:t>
                      </w:r>
                      <w:r>
                        <w:rPr>
                          <w:b/>
                          <w:color w:val="FFFFFF"/>
                          <w:spacing w:val="-9"/>
                          <w:sz w:val="28"/>
                        </w:rPr>
                        <w:t> </w:t>
                      </w:r>
                      <w:r>
                        <w:rPr>
                          <w:b/>
                          <w:color w:val="FFFFFF"/>
                          <w:sz w:val="28"/>
                        </w:rPr>
                        <w:t>property</w:t>
                      </w:r>
                      <w:r>
                        <w:rPr>
                          <w:b/>
                          <w:color w:val="FFFFFF"/>
                          <w:spacing w:val="-9"/>
                          <w:sz w:val="28"/>
                        </w:rPr>
                        <w:t> </w:t>
                      </w:r>
                      <w:r>
                        <w:rPr>
                          <w:b/>
                          <w:color w:val="FFFFFF"/>
                          <w:sz w:val="28"/>
                        </w:rPr>
                        <w:t>means</w:t>
                      </w:r>
                      <w:r>
                        <w:rPr>
                          <w:b/>
                          <w:color w:val="FFFFFF"/>
                          <w:spacing w:val="-9"/>
                          <w:sz w:val="28"/>
                        </w:rPr>
                        <w:t> </w:t>
                      </w:r>
                      <w:r>
                        <w:rPr>
                          <w:b/>
                          <w:color w:val="FFFFFF"/>
                          <w:sz w:val="28"/>
                        </w:rPr>
                        <w:t>in plain English</w:t>
                      </w:r>
                    </w:p>
                  </w:txbxContent>
                </v:textbox>
                <v:fill type="solid"/>
                <w10:wrap type="topAndBottom"/>
              </v:shape>
            </w:pict>
          </mc:Fallback>
        </mc:AlternateContent>
      </w:r>
    </w:p>
    <w:p>
      <w:pPr>
        <w:pStyle w:val="ListParagraph"/>
        <w:numPr>
          <w:ilvl w:val="0"/>
          <w:numId w:val="1"/>
        </w:numPr>
        <w:tabs>
          <w:tab w:pos="578" w:val="left" w:leader="none"/>
        </w:tabs>
        <w:spacing w:line="254" w:lineRule="auto" w:before="158" w:after="0"/>
        <w:ind w:left="578" w:right="174" w:hanging="360"/>
        <w:jc w:val="both"/>
        <w:rPr>
          <w:b/>
          <w:color w:val="231F20"/>
          <w:sz w:val="20"/>
        </w:rPr>
      </w:pPr>
      <w:r>
        <w:rPr>
          <w:b/>
          <w:color w:val="231F20"/>
          <w:sz w:val="20"/>
        </w:rPr>
        <w:t>Used for a business: </w:t>
      </w:r>
      <w:r>
        <w:rPr>
          <w:color w:val="231F20"/>
          <w:sz w:val="20"/>
        </w:rPr>
        <w:t>The property must be used in a genuine</w:t>
      </w:r>
      <w:r>
        <w:rPr>
          <w:color w:val="231F20"/>
          <w:spacing w:val="-11"/>
          <w:sz w:val="20"/>
        </w:rPr>
        <w:t> </w:t>
      </w:r>
      <w:r>
        <w:rPr>
          <w:color w:val="231F20"/>
          <w:sz w:val="20"/>
        </w:rPr>
        <w:t>business,</w:t>
      </w:r>
      <w:r>
        <w:rPr>
          <w:color w:val="231F20"/>
          <w:spacing w:val="-11"/>
          <w:sz w:val="20"/>
        </w:rPr>
        <w:t> </w:t>
      </w:r>
      <w:r>
        <w:rPr>
          <w:color w:val="231F20"/>
          <w:sz w:val="20"/>
        </w:rPr>
        <w:t>such</w:t>
      </w:r>
      <w:r>
        <w:rPr>
          <w:color w:val="231F20"/>
          <w:spacing w:val="-11"/>
          <w:sz w:val="20"/>
        </w:rPr>
        <w:t> </w:t>
      </w:r>
      <w:r>
        <w:rPr>
          <w:color w:val="231F20"/>
          <w:sz w:val="20"/>
        </w:rPr>
        <w:t>as</w:t>
      </w:r>
      <w:r>
        <w:rPr>
          <w:color w:val="231F20"/>
          <w:spacing w:val="-11"/>
          <w:sz w:val="20"/>
        </w:rPr>
        <w:t> </w:t>
      </w:r>
      <w:r>
        <w:rPr>
          <w:color w:val="231F20"/>
          <w:sz w:val="20"/>
        </w:rPr>
        <w:t>a</w:t>
      </w:r>
      <w:r>
        <w:rPr>
          <w:color w:val="231F20"/>
          <w:spacing w:val="-11"/>
          <w:sz w:val="20"/>
        </w:rPr>
        <w:t> </w:t>
      </w:r>
      <w:r>
        <w:rPr>
          <w:color w:val="231F20"/>
          <w:sz w:val="20"/>
        </w:rPr>
        <w:t>factory,</w:t>
      </w:r>
      <w:r>
        <w:rPr>
          <w:color w:val="231F20"/>
          <w:spacing w:val="-11"/>
          <w:sz w:val="20"/>
        </w:rPr>
        <w:t> </w:t>
      </w:r>
      <w:r>
        <w:rPr>
          <w:color w:val="231F20"/>
          <w:sz w:val="20"/>
        </w:rPr>
        <w:t>warehouse,</w:t>
      </w:r>
      <w:r>
        <w:rPr>
          <w:color w:val="231F20"/>
          <w:spacing w:val="-11"/>
          <w:sz w:val="20"/>
        </w:rPr>
        <w:t> </w:t>
      </w:r>
      <w:r>
        <w:rPr>
          <w:color w:val="231F20"/>
          <w:sz w:val="20"/>
        </w:rPr>
        <w:t>shop</w:t>
      </w:r>
      <w:r>
        <w:rPr>
          <w:color w:val="231F20"/>
          <w:spacing w:val="-11"/>
          <w:sz w:val="20"/>
        </w:rPr>
        <w:t> </w:t>
      </w:r>
      <w:r>
        <w:rPr>
          <w:color w:val="231F20"/>
          <w:sz w:val="20"/>
        </w:rPr>
        <w:t>or </w:t>
      </w:r>
      <w:r>
        <w:rPr>
          <w:color w:val="231F20"/>
          <w:spacing w:val="-2"/>
          <w:sz w:val="20"/>
        </w:rPr>
        <w:t>office.</w:t>
      </w:r>
    </w:p>
    <w:p>
      <w:pPr>
        <w:pStyle w:val="ListParagraph"/>
        <w:numPr>
          <w:ilvl w:val="0"/>
          <w:numId w:val="1"/>
        </w:numPr>
        <w:tabs>
          <w:tab w:pos="578" w:val="left" w:leader="none"/>
        </w:tabs>
        <w:spacing w:line="254" w:lineRule="auto" w:before="4" w:after="0"/>
        <w:ind w:left="578" w:right="174" w:hanging="360"/>
        <w:jc w:val="both"/>
        <w:rPr>
          <w:b/>
          <w:color w:val="231F20"/>
          <w:sz w:val="20"/>
        </w:rPr>
      </w:pPr>
      <w:r>
        <w:rPr>
          <w:b/>
          <w:color w:val="231F20"/>
          <w:sz w:val="20"/>
        </w:rPr>
        <w:t>Wholly and exclusively: </w:t>
      </w:r>
      <w:r>
        <w:rPr>
          <w:color w:val="231F20"/>
          <w:sz w:val="20"/>
        </w:rPr>
        <w:t>The whole property must be used</w:t>
      </w:r>
      <w:r>
        <w:rPr>
          <w:color w:val="231F20"/>
          <w:spacing w:val="-2"/>
          <w:sz w:val="20"/>
        </w:rPr>
        <w:t> </w:t>
      </w:r>
      <w:r>
        <w:rPr>
          <w:color w:val="231F20"/>
          <w:sz w:val="20"/>
        </w:rPr>
        <w:t>for</w:t>
      </w:r>
      <w:r>
        <w:rPr>
          <w:color w:val="231F20"/>
          <w:spacing w:val="-2"/>
          <w:sz w:val="20"/>
        </w:rPr>
        <w:t> </w:t>
      </w:r>
      <w:r>
        <w:rPr>
          <w:color w:val="231F20"/>
          <w:sz w:val="20"/>
        </w:rPr>
        <w:t>business,</w:t>
      </w:r>
      <w:r>
        <w:rPr>
          <w:color w:val="231F20"/>
          <w:spacing w:val="-2"/>
          <w:sz w:val="20"/>
        </w:rPr>
        <w:t> </w:t>
      </w:r>
      <w:r>
        <w:rPr>
          <w:color w:val="231F20"/>
          <w:sz w:val="20"/>
        </w:rPr>
        <w:t>not</w:t>
      </w:r>
      <w:r>
        <w:rPr>
          <w:color w:val="231F20"/>
          <w:spacing w:val="-2"/>
          <w:sz w:val="20"/>
        </w:rPr>
        <w:t> </w:t>
      </w:r>
      <w:r>
        <w:rPr>
          <w:color w:val="231F20"/>
          <w:sz w:val="20"/>
        </w:rPr>
        <w:t>partly</w:t>
      </w:r>
      <w:r>
        <w:rPr>
          <w:color w:val="231F20"/>
          <w:spacing w:val="-2"/>
          <w:sz w:val="20"/>
        </w:rPr>
        <w:t> </w:t>
      </w:r>
      <w:r>
        <w:rPr>
          <w:color w:val="231F20"/>
          <w:sz w:val="20"/>
        </w:rPr>
        <w:t>for</w:t>
      </w:r>
      <w:r>
        <w:rPr>
          <w:color w:val="231F20"/>
          <w:spacing w:val="-2"/>
          <w:sz w:val="20"/>
        </w:rPr>
        <w:t> </w:t>
      </w:r>
      <w:r>
        <w:rPr>
          <w:color w:val="231F20"/>
          <w:sz w:val="20"/>
        </w:rPr>
        <w:t>business</w:t>
      </w:r>
      <w:r>
        <w:rPr>
          <w:color w:val="231F20"/>
          <w:spacing w:val="-2"/>
          <w:sz w:val="20"/>
        </w:rPr>
        <w:t> </w:t>
      </w:r>
      <w:r>
        <w:rPr>
          <w:color w:val="231F20"/>
          <w:sz w:val="20"/>
        </w:rPr>
        <w:t>and</w:t>
      </w:r>
      <w:r>
        <w:rPr>
          <w:color w:val="231F20"/>
          <w:spacing w:val="-2"/>
          <w:sz w:val="20"/>
        </w:rPr>
        <w:t> </w:t>
      </w:r>
      <w:r>
        <w:rPr>
          <w:color w:val="231F20"/>
          <w:sz w:val="20"/>
        </w:rPr>
        <w:t>partly</w:t>
      </w:r>
      <w:r>
        <w:rPr>
          <w:color w:val="231F20"/>
          <w:spacing w:val="-2"/>
          <w:sz w:val="20"/>
        </w:rPr>
        <w:t> </w:t>
      </w:r>
      <w:r>
        <w:rPr>
          <w:color w:val="231F20"/>
          <w:sz w:val="20"/>
        </w:rPr>
        <w:t>for something else.</w:t>
      </w:r>
    </w:p>
    <w:p>
      <w:pPr>
        <w:pStyle w:val="ListParagraph"/>
        <w:numPr>
          <w:ilvl w:val="0"/>
          <w:numId w:val="1"/>
        </w:numPr>
        <w:tabs>
          <w:tab w:pos="578" w:val="left" w:leader="none"/>
        </w:tabs>
        <w:spacing w:line="254" w:lineRule="auto" w:before="4" w:after="0"/>
        <w:ind w:left="578" w:right="175" w:hanging="360"/>
        <w:jc w:val="both"/>
        <w:rPr>
          <w:b/>
          <w:color w:val="231F20"/>
          <w:sz w:val="20"/>
        </w:rPr>
      </w:pPr>
      <w:r>
        <w:rPr>
          <w:b/>
          <w:color w:val="231F20"/>
          <w:sz w:val="20"/>
        </w:rPr>
        <w:t>Residential property doesn't qualify: </w:t>
      </w:r>
      <w:r>
        <w:rPr>
          <w:color w:val="231F20"/>
          <w:sz w:val="20"/>
        </w:rPr>
        <w:t>A house or unit bought as a rental investment is generally not business real property.</w:t>
      </w:r>
    </w:p>
    <w:p>
      <w:pPr>
        <w:pStyle w:val="ListParagraph"/>
        <w:numPr>
          <w:ilvl w:val="0"/>
          <w:numId w:val="1"/>
        </w:numPr>
        <w:tabs>
          <w:tab w:pos="578" w:val="left" w:leader="none"/>
        </w:tabs>
        <w:spacing w:line="254" w:lineRule="auto" w:before="3" w:after="0"/>
        <w:ind w:left="578" w:right="173" w:hanging="360"/>
        <w:jc w:val="both"/>
        <w:rPr>
          <w:b/>
          <w:color w:val="231F20"/>
          <w:sz w:val="20"/>
        </w:rPr>
      </w:pPr>
      <w:r>
        <w:rPr>
          <w:b/>
          <w:color w:val="231F20"/>
          <w:sz w:val="20"/>
        </w:rPr>
        <w:t>Farms: </w:t>
      </w:r>
      <w:r>
        <w:rPr>
          <w:color w:val="231F20"/>
          <w:sz w:val="20"/>
        </w:rPr>
        <w:t>Land used in a primary production business (such as a farm) can still qualify even if there is a home on</w:t>
      </w:r>
      <w:r>
        <w:rPr>
          <w:color w:val="231F20"/>
          <w:spacing w:val="-7"/>
          <w:sz w:val="20"/>
        </w:rPr>
        <w:t> </w:t>
      </w:r>
      <w:r>
        <w:rPr>
          <w:color w:val="231F20"/>
          <w:sz w:val="20"/>
        </w:rPr>
        <w:t>it,</w:t>
      </w:r>
      <w:r>
        <w:rPr>
          <w:color w:val="231F20"/>
          <w:spacing w:val="-7"/>
          <w:sz w:val="20"/>
        </w:rPr>
        <w:t> </w:t>
      </w:r>
      <w:r>
        <w:rPr>
          <w:color w:val="231F20"/>
          <w:sz w:val="20"/>
        </w:rPr>
        <w:t>as</w:t>
      </w:r>
      <w:r>
        <w:rPr>
          <w:color w:val="231F20"/>
          <w:spacing w:val="-8"/>
          <w:sz w:val="20"/>
        </w:rPr>
        <w:t> </w:t>
      </w:r>
      <w:r>
        <w:rPr>
          <w:color w:val="231F20"/>
          <w:sz w:val="20"/>
        </w:rPr>
        <w:t>long</w:t>
      </w:r>
      <w:r>
        <w:rPr>
          <w:color w:val="231F20"/>
          <w:spacing w:val="-7"/>
          <w:sz w:val="20"/>
        </w:rPr>
        <w:t> </w:t>
      </w:r>
      <w:r>
        <w:rPr>
          <w:color w:val="231F20"/>
          <w:sz w:val="20"/>
        </w:rPr>
        <w:t>as</w:t>
      </w:r>
      <w:r>
        <w:rPr>
          <w:color w:val="231F20"/>
          <w:spacing w:val="-8"/>
          <w:sz w:val="20"/>
        </w:rPr>
        <w:t> </w:t>
      </w:r>
      <w:r>
        <w:rPr>
          <w:color w:val="231F20"/>
          <w:sz w:val="20"/>
        </w:rPr>
        <w:t>the</w:t>
      </w:r>
      <w:r>
        <w:rPr>
          <w:color w:val="231F20"/>
          <w:spacing w:val="-7"/>
          <w:sz w:val="20"/>
        </w:rPr>
        <w:t> </w:t>
      </w:r>
      <w:r>
        <w:rPr>
          <w:color w:val="231F20"/>
          <w:sz w:val="20"/>
        </w:rPr>
        <w:t>home</w:t>
      </w:r>
      <w:r>
        <w:rPr>
          <w:color w:val="231F20"/>
          <w:spacing w:val="-7"/>
          <w:sz w:val="20"/>
        </w:rPr>
        <w:t> </w:t>
      </w:r>
      <w:r>
        <w:rPr>
          <w:color w:val="231F20"/>
          <w:sz w:val="20"/>
        </w:rPr>
        <w:t>is</w:t>
      </w:r>
      <w:r>
        <w:rPr>
          <w:color w:val="231F20"/>
          <w:spacing w:val="-7"/>
          <w:sz w:val="20"/>
        </w:rPr>
        <w:t> </w:t>
      </w:r>
      <w:r>
        <w:rPr>
          <w:color w:val="231F20"/>
          <w:sz w:val="20"/>
        </w:rPr>
        <w:t>on</w:t>
      </w:r>
      <w:r>
        <w:rPr>
          <w:color w:val="231F20"/>
          <w:spacing w:val="-7"/>
          <w:sz w:val="20"/>
        </w:rPr>
        <w:t> </w:t>
      </w:r>
      <w:r>
        <w:rPr>
          <w:color w:val="231F20"/>
          <w:sz w:val="20"/>
        </w:rPr>
        <w:t>no</w:t>
      </w:r>
      <w:r>
        <w:rPr>
          <w:color w:val="231F20"/>
          <w:spacing w:val="-7"/>
          <w:sz w:val="20"/>
        </w:rPr>
        <w:t> </w:t>
      </w:r>
      <w:r>
        <w:rPr>
          <w:color w:val="231F20"/>
          <w:sz w:val="20"/>
        </w:rPr>
        <w:t>more</w:t>
      </w:r>
      <w:r>
        <w:rPr>
          <w:color w:val="231F20"/>
          <w:spacing w:val="-8"/>
          <w:sz w:val="20"/>
        </w:rPr>
        <w:t> </w:t>
      </w:r>
      <w:r>
        <w:rPr>
          <w:color w:val="231F20"/>
          <w:sz w:val="20"/>
        </w:rPr>
        <w:t>than</w:t>
      </w:r>
      <w:r>
        <w:rPr>
          <w:color w:val="231F20"/>
          <w:spacing w:val="-7"/>
          <w:sz w:val="20"/>
        </w:rPr>
        <w:t> </w:t>
      </w:r>
      <w:r>
        <w:rPr>
          <w:color w:val="231F20"/>
          <w:sz w:val="20"/>
        </w:rPr>
        <w:t>2</w:t>
      </w:r>
      <w:r>
        <w:rPr>
          <w:color w:val="231F20"/>
          <w:spacing w:val="-8"/>
          <w:sz w:val="20"/>
        </w:rPr>
        <w:t> </w:t>
      </w:r>
      <w:r>
        <w:rPr>
          <w:color w:val="231F20"/>
          <w:sz w:val="20"/>
        </w:rPr>
        <w:t>hectares and</w:t>
      </w:r>
      <w:r>
        <w:rPr>
          <w:color w:val="231F20"/>
          <w:spacing w:val="-10"/>
          <w:sz w:val="20"/>
        </w:rPr>
        <w:t> </w:t>
      </w:r>
      <w:r>
        <w:rPr>
          <w:color w:val="231F20"/>
          <w:sz w:val="20"/>
        </w:rPr>
        <w:t>the</w:t>
      </w:r>
      <w:r>
        <w:rPr>
          <w:color w:val="231F20"/>
          <w:spacing w:val="-10"/>
          <w:sz w:val="20"/>
        </w:rPr>
        <w:t> </w:t>
      </w:r>
      <w:r>
        <w:rPr>
          <w:color w:val="231F20"/>
          <w:sz w:val="20"/>
        </w:rPr>
        <w:t>property</w:t>
      </w:r>
      <w:r>
        <w:rPr>
          <w:color w:val="231F20"/>
          <w:spacing w:val="-10"/>
          <w:sz w:val="20"/>
        </w:rPr>
        <w:t> </w:t>
      </w:r>
      <w:r>
        <w:rPr>
          <w:color w:val="231F20"/>
          <w:sz w:val="20"/>
        </w:rPr>
        <w:t>is</w:t>
      </w:r>
      <w:r>
        <w:rPr>
          <w:color w:val="231F20"/>
          <w:spacing w:val="-10"/>
          <w:sz w:val="20"/>
        </w:rPr>
        <w:t> </w:t>
      </w:r>
      <w:r>
        <w:rPr>
          <w:color w:val="231F20"/>
          <w:sz w:val="20"/>
        </w:rPr>
        <w:t>mainly</w:t>
      </w:r>
      <w:r>
        <w:rPr>
          <w:color w:val="231F20"/>
          <w:spacing w:val="-10"/>
          <w:sz w:val="20"/>
        </w:rPr>
        <w:t> </w:t>
      </w:r>
      <w:r>
        <w:rPr>
          <w:color w:val="231F20"/>
          <w:sz w:val="20"/>
        </w:rPr>
        <w:t>used</w:t>
      </w:r>
      <w:r>
        <w:rPr>
          <w:color w:val="231F20"/>
          <w:spacing w:val="-10"/>
          <w:sz w:val="20"/>
        </w:rPr>
        <w:t> </w:t>
      </w:r>
      <w:r>
        <w:rPr>
          <w:color w:val="231F20"/>
          <w:sz w:val="20"/>
        </w:rPr>
        <w:t>for</w:t>
      </w:r>
      <w:r>
        <w:rPr>
          <w:color w:val="231F20"/>
          <w:spacing w:val="-10"/>
          <w:sz w:val="20"/>
        </w:rPr>
        <w:t> </w:t>
      </w:r>
      <w:r>
        <w:rPr>
          <w:color w:val="231F20"/>
          <w:sz w:val="20"/>
        </w:rPr>
        <w:t>the</w:t>
      </w:r>
      <w:r>
        <w:rPr>
          <w:color w:val="231F20"/>
          <w:spacing w:val="-10"/>
          <w:sz w:val="20"/>
        </w:rPr>
        <w:t> </w:t>
      </w:r>
      <w:r>
        <w:rPr>
          <w:color w:val="231F20"/>
          <w:sz w:val="20"/>
        </w:rPr>
        <w:t>business,</w:t>
      </w:r>
      <w:r>
        <w:rPr>
          <w:color w:val="231F20"/>
          <w:spacing w:val="-10"/>
          <w:sz w:val="20"/>
        </w:rPr>
        <w:t> </w:t>
      </w:r>
      <w:r>
        <w:rPr>
          <w:color w:val="231F20"/>
          <w:sz w:val="20"/>
        </w:rPr>
        <w:t>not</w:t>
      </w:r>
      <w:r>
        <w:rPr>
          <w:color w:val="231F20"/>
          <w:spacing w:val="-10"/>
          <w:sz w:val="20"/>
        </w:rPr>
        <w:t> </w:t>
      </w:r>
      <w:r>
        <w:rPr>
          <w:color w:val="231F20"/>
          <w:sz w:val="20"/>
        </w:rPr>
        <w:t>for private purposes.</w:t>
      </w:r>
    </w:p>
    <w:p>
      <w:pPr>
        <w:pStyle w:val="ListParagraph"/>
        <w:numPr>
          <w:ilvl w:val="0"/>
          <w:numId w:val="1"/>
        </w:numPr>
        <w:tabs>
          <w:tab w:pos="578" w:val="left" w:leader="none"/>
        </w:tabs>
        <w:spacing w:line="254" w:lineRule="auto" w:before="6" w:after="0"/>
        <w:ind w:left="578" w:right="176" w:hanging="360"/>
        <w:jc w:val="both"/>
        <w:rPr>
          <w:b/>
          <w:color w:val="231F20"/>
          <w:sz w:val="20"/>
        </w:rPr>
      </w:pPr>
      <w:r>
        <w:rPr>
          <w:b/>
          <w:color w:val="231F20"/>
          <w:sz w:val="20"/>
        </w:rPr>
        <w:t>Rented to a business: </w:t>
      </w:r>
      <w:r>
        <w:rPr>
          <w:color w:val="231F20"/>
          <w:sz w:val="20"/>
        </w:rPr>
        <w:t>Many SMSFs buy commercial premises and lease them to a business.</w:t>
      </w:r>
    </w:p>
    <w:p>
      <w:pPr>
        <w:pStyle w:val="ListParagraph"/>
        <w:spacing w:after="0" w:line="254" w:lineRule="auto"/>
        <w:jc w:val="both"/>
        <w:rPr>
          <w:b/>
          <w:sz w:val="20"/>
        </w:rPr>
        <w:sectPr>
          <w:type w:val="continuous"/>
          <w:pgSz w:w="11910" w:h="16840"/>
          <w:pgMar w:top="0" w:bottom="280" w:left="566" w:right="566"/>
          <w:cols w:num="2" w:equalWidth="0">
            <w:col w:w="5163" w:space="359"/>
            <w:col w:w="5256"/>
          </w:cols>
        </w:sectPr>
      </w:pPr>
    </w:p>
    <w:p>
      <w:pPr>
        <w:pStyle w:val="BodyText"/>
        <w:spacing w:before="25"/>
      </w:pPr>
    </w:p>
    <w:p>
      <w:pPr>
        <w:pStyle w:val="BodyText"/>
        <w:spacing w:after="0"/>
        <w:sectPr>
          <w:type w:val="continuous"/>
          <w:pgSz w:w="11910" w:h="16840"/>
          <w:pgMar w:top="0" w:bottom="280" w:left="566" w:right="566"/>
        </w:sectPr>
      </w:pPr>
    </w:p>
    <w:p>
      <w:pPr>
        <w:pStyle w:val="BodyText"/>
        <w:spacing w:line="276" w:lineRule="auto" w:before="59"/>
        <w:ind w:left="214" w:right="38"/>
        <w:jc w:val="both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35296">
                <wp:simplePos x="0" y="0"/>
                <wp:positionH relativeFrom="page">
                  <wp:posOffset>0</wp:posOffset>
                </wp:positionH>
                <wp:positionV relativeFrom="page">
                  <wp:posOffset>12</wp:posOffset>
                </wp:positionV>
                <wp:extent cx="7560309" cy="546735"/>
                <wp:effectExtent l="0" t="0" r="0" b="0"/>
                <wp:wrapNone/>
                <wp:docPr id="15" name="Group 15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5" name="Group 15"/>
                      <wpg:cNvGrpSpPr/>
                      <wpg:grpSpPr>
                        <a:xfrm>
                          <a:off x="0" y="0"/>
                          <a:ext cx="7560309" cy="546735"/>
                          <a:chExt cx="7560309" cy="546735"/>
                        </a:xfrm>
                      </wpg:grpSpPr>
                      <wps:wsp>
                        <wps:cNvPr id="16" name="Graphic 16"/>
                        <wps:cNvSpPr/>
                        <wps:spPr>
                          <a:xfrm>
                            <a:off x="0" y="0"/>
                            <a:ext cx="7560309" cy="54673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560309" h="546735">
                                <a:moveTo>
                                  <a:pt x="7559992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546646"/>
                                </a:lnTo>
                                <a:lnTo>
                                  <a:pt x="7559992" y="546646"/>
                                </a:lnTo>
                                <a:lnTo>
                                  <a:pt x="755999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19BD7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7" name="Textbox 17"/>
                        <wps:cNvSpPr txBox="1"/>
                        <wps:spPr>
                          <a:xfrm>
                            <a:off x="0" y="0"/>
                            <a:ext cx="7560309" cy="54673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152"/>
                                <w:ind w:left="441" w:right="0" w:firstLine="0"/>
                                <w:jc w:val="left"/>
                                <w:rPr>
                                  <w:b/>
                                  <w:sz w:val="40"/>
                                </w:rPr>
                              </w:pPr>
                              <w:r>
                                <w:rPr>
                                  <w:b/>
                                  <w:color w:val="FFFFFF"/>
                                  <w:sz w:val="40"/>
                                </w:rPr>
                                <w:t>October</w:t>
                              </w:r>
                              <w:r>
                                <w:rPr>
                                  <w:b/>
                                  <w:color w:val="FFFFFF"/>
                                  <w:spacing w:val="-5"/>
                                  <w:sz w:val="40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FFFFFF"/>
                                  <w:sz w:val="40"/>
                                </w:rPr>
                                <w:t>2026</w:t>
                              </w:r>
                              <w:r>
                                <w:rPr>
                                  <w:b/>
                                  <w:color w:val="FFFFFF"/>
                                  <w:spacing w:val="-3"/>
                                  <w:sz w:val="40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FFFFFF"/>
                                  <w:spacing w:val="-2"/>
                                  <w:sz w:val="40"/>
                                </w:rPr>
                                <w:t>Newsletter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0pt;margin-top:.001015pt;width:595.3pt;height:43.05pt;mso-position-horizontal-relative:page;mso-position-vertical-relative:page;z-index:15735296" id="docshapegroup13" coordorigin="0,0" coordsize="11906,861">
                <v:rect style="position:absolute;left:0;top:0;width:11906;height:861" id="docshape14" filled="true" fillcolor="#019bd7" stroked="false">
                  <v:fill type="solid"/>
                </v:rect>
                <v:shape style="position:absolute;left:0;top:0;width:11906;height:861" type="#_x0000_t202" id="docshape15" filled="false" stroked="false">
                  <v:textbox inset="0,0,0,0">
                    <w:txbxContent>
                      <w:p>
                        <w:pPr>
                          <w:spacing w:before="152"/>
                          <w:ind w:left="441" w:right="0" w:firstLine="0"/>
                          <w:jc w:val="left"/>
                          <w:rPr>
                            <w:b/>
                            <w:sz w:val="40"/>
                          </w:rPr>
                        </w:pPr>
                        <w:r>
                          <w:rPr>
                            <w:b/>
                            <w:color w:val="FFFFFF"/>
                            <w:sz w:val="40"/>
                          </w:rPr>
                          <w:t>October</w:t>
                        </w:r>
                        <w:r>
                          <w:rPr>
                            <w:b/>
                            <w:color w:val="FFFFFF"/>
                            <w:spacing w:val="-5"/>
                            <w:sz w:val="40"/>
                          </w:rPr>
                          <w:t> </w:t>
                        </w:r>
                        <w:r>
                          <w:rPr>
                            <w:b/>
                            <w:color w:val="FFFFFF"/>
                            <w:sz w:val="40"/>
                          </w:rPr>
                          <w:t>2026</w:t>
                        </w:r>
                        <w:r>
                          <w:rPr>
                            <w:b/>
                            <w:color w:val="FFFFFF"/>
                            <w:spacing w:val="-3"/>
                            <w:sz w:val="40"/>
                          </w:rPr>
                          <w:t> </w:t>
                        </w:r>
                        <w:r>
                          <w:rPr>
                            <w:b/>
                            <w:color w:val="FFFFFF"/>
                            <w:spacing w:val="-2"/>
                            <w:sz w:val="40"/>
                          </w:rPr>
                          <w:t>Newsletter</w:t>
                        </w:r>
                      </w:p>
                    </w:txbxContent>
                  </v:textbox>
                  <w10:wrap type="none"/>
                </v:shape>
                <w10:wrap type="none"/>
              </v:group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35808">
                <wp:simplePos x="0" y="0"/>
                <wp:positionH relativeFrom="page">
                  <wp:posOffset>3973995</wp:posOffset>
                </wp:positionH>
                <wp:positionV relativeFrom="paragraph">
                  <wp:posOffset>-556028</wp:posOffset>
                </wp:positionV>
                <wp:extent cx="3141345" cy="556895"/>
                <wp:effectExtent l="0" t="0" r="0" b="0"/>
                <wp:wrapNone/>
                <wp:docPr id="18" name="Textbox 18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8" name="Textbox 18"/>
                      <wps:cNvSpPr txBox="1"/>
                      <wps:spPr>
                        <a:xfrm>
                          <a:off x="0" y="0"/>
                          <a:ext cx="3141345" cy="556895"/>
                        </a:xfrm>
                        <a:prstGeom prst="rect">
                          <a:avLst/>
                        </a:prstGeom>
                        <a:solidFill>
                          <a:srgbClr val="27AAE2">
                            <a:alpha val="18998"/>
                          </a:srgbClr>
                        </a:solidFill>
                      </wps:spPr>
                      <wps:txbx>
                        <w:txbxContent>
                          <w:p>
                            <w:pPr>
                              <w:pStyle w:val="BodyText"/>
                              <w:spacing w:line="254" w:lineRule="auto" w:before="34"/>
                              <w:ind w:left="69" w:right="19"/>
                              <w:jc w:val="both"/>
                              <w:rPr>
                                <w:color w:val="000000"/>
                              </w:rPr>
                            </w:pPr>
                            <w:r>
                              <w:rPr>
                                <w:b/>
                                <w:color w:val="231F20"/>
                              </w:rPr>
                              <w:t>How we can help: </w:t>
                            </w:r>
                            <w:r>
                              <w:rPr>
                                <w:color w:val="231F20"/>
                              </w:rPr>
                              <w:t>Our office will help you identify whether a property qualifies as business real property, before you sign a contract or arrange a loan.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312.912994pt;margin-top:-43.781784pt;width:247.35pt;height:43.85pt;mso-position-horizontal-relative:page;mso-position-vertical-relative:paragraph;z-index:15735808" type="#_x0000_t202" id="docshape16" filled="true" fillcolor="#27aae2" stroked="false">
                <v:textbox inset="0,0,0,0">
                  <w:txbxContent>
                    <w:p>
                      <w:pPr>
                        <w:pStyle w:val="BodyText"/>
                        <w:spacing w:line="254" w:lineRule="auto" w:before="34"/>
                        <w:ind w:left="69" w:right="19"/>
                        <w:jc w:val="both"/>
                        <w:rPr>
                          <w:color w:val="000000"/>
                        </w:rPr>
                      </w:pPr>
                      <w:r>
                        <w:rPr>
                          <w:b/>
                          <w:color w:val="231F20"/>
                        </w:rPr>
                        <w:t>How we can help: </w:t>
                      </w:r>
                      <w:r>
                        <w:rPr>
                          <w:color w:val="231F20"/>
                        </w:rPr>
                        <w:t>Our office will help you identify whether a property qualifies as business real property, before you sign a contract or arrange a loan.</w:t>
                      </w:r>
                    </w:p>
                  </w:txbxContent>
                </v:textbox>
                <v:fill opacity="12451f" type="solid"/>
                <w10:wrap type="none"/>
              </v:shape>
            </w:pict>
          </mc:Fallback>
        </mc:AlternateContent>
      </w:r>
      <w:r>
        <w:rPr>
          <w:b/>
          <w:color w:val="231F20"/>
        </w:rPr>
        <w:t>What</w:t>
      </w:r>
      <w:r>
        <w:rPr>
          <w:b/>
          <w:color w:val="231F20"/>
          <w:spacing w:val="-2"/>
        </w:rPr>
        <w:t> </w:t>
      </w:r>
      <w:r>
        <w:rPr>
          <w:b/>
          <w:color w:val="231F20"/>
        </w:rPr>
        <w:t>this</w:t>
      </w:r>
      <w:r>
        <w:rPr>
          <w:b/>
          <w:color w:val="231F20"/>
          <w:spacing w:val="-2"/>
        </w:rPr>
        <w:t> </w:t>
      </w:r>
      <w:r>
        <w:rPr>
          <w:b/>
          <w:color w:val="231F20"/>
        </w:rPr>
        <w:t>means</w:t>
      </w:r>
      <w:r>
        <w:rPr>
          <w:b/>
          <w:color w:val="231F20"/>
          <w:spacing w:val="-2"/>
        </w:rPr>
        <w:t> </w:t>
      </w:r>
      <w:r>
        <w:rPr>
          <w:b/>
          <w:color w:val="231F20"/>
        </w:rPr>
        <w:t>for</w:t>
      </w:r>
      <w:r>
        <w:rPr>
          <w:b/>
          <w:color w:val="231F20"/>
          <w:spacing w:val="-2"/>
        </w:rPr>
        <w:t> </w:t>
      </w:r>
      <w:r>
        <w:rPr>
          <w:b/>
          <w:color w:val="231F20"/>
        </w:rPr>
        <w:t>you:</w:t>
      </w:r>
      <w:r>
        <w:rPr>
          <w:b/>
          <w:color w:val="231F20"/>
          <w:spacing w:val="-2"/>
        </w:rPr>
        <w:t> </w:t>
      </w:r>
      <w:r>
        <w:rPr>
          <w:color w:val="231F20"/>
        </w:rPr>
        <w:t>The</w:t>
      </w:r>
      <w:r>
        <w:rPr>
          <w:color w:val="231F20"/>
          <w:spacing w:val="-2"/>
        </w:rPr>
        <w:t> </w:t>
      </w:r>
      <w:r>
        <w:rPr>
          <w:color w:val="231F20"/>
        </w:rPr>
        <w:t>ATO</w:t>
      </w:r>
      <w:r>
        <w:rPr>
          <w:color w:val="231F20"/>
          <w:spacing w:val="-2"/>
        </w:rPr>
        <w:t> </w:t>
      </w:r>
      <w:r>
        <w:rPr>
          <w:color w:val="231F20"/>
        </w:rPr>
        <w:t>says</w:t>
      </w:r>
      <w:r>
        <w:rPr>
          <w:color w:val="231F20"/>
          <w:spacing w:val="-2"/>
        </w:rPr>
        <w:t> </w:t>
      </w:r>
      <w:r>
        <w:rPr>
          <w:color w:val="231F20"/>
        </w:rPr>
        <w:t>any</w:t>
      </w:r>
      <w:r>
        <w:rPr>
          <w:color w:val="231F20"/>
          <w:spacing w:val="-2"/>
        </w:rPr>
        <w:t> </w:t>
      </w:r>
      <w:r>
        <w:rPr>
          <w:color w:val="231F20"/>
        </w:rPr>
        <w:t>super</w:t>
      </w:r>
      <w:r>
        <w:rPr>
          <w:color w:val="231F20"/>
          <w:spacing w:val="-2"/>
        </w:rPr>
        <w:t> </w:t>
      </w:r>
      <w:r>
        <w:rPr>
          <w:color w:val="231F20"/>
        </w:rPr>
        <w:t>accessed illegally</w:t>
      </w:r>
      <w:r>
        <w:rPr>
          <w:color w:val="231F20"/>
          <w:spacing w:val="-8"/>
        </w:rPr>
        <w:t> </w:t>
      </w:r>
      <w:r>
        <w:rPr>
          <w:color w:val="231F20"/>
        </w:rPr>
        <w:t>is</w:t>
      </w:r>
      <w:r>
        <w:rPr>
          <w:color w:val="231F20"/>
          <w:spacing w:val="-8"/>
        </w:rPr>
        <w:t> </w:t>
      </w:r>
      <w:r>
        <w:rPr>
          <w:color w:val="231F20"/>
        </w:rPr>
        <w:t>taxed</w:t>
      </w:r>
      <w:r>
        <w:rPr>
          <w:color w:val="231F20"/>
          <w:spacing w:val="-8"/>
        </w:rPr>
        <w:t> </w:t>
      </w:r>
      <w:r>
        <w:rPr>
          <w:color w:val="231F20"/>
        </w:rPr>
        <w:t>as</w:t>
      </w:r>
      <w:r>
        <w:rPr>
          <w:color w:val="231F20"/>
          <w:spacing w:val="-8"/>
        </w:rPr>
        <w:t> </w:t>
      </w:r>
      <w:r>
        <w:rPr>
          <w:color w:val="231F20"/>
        </w:rPr>
        <w:t>income,</w:t>
      </w:r>
      <w:r>
        <w:rPr>
          <w:color w:val="231F20"/>
          <w:spacing w:val="-8"/>
        </w:rPr>
        <w:t> </w:t>
      </w:r>
      <w:r>
        <w:rPr>
          <w:color w:val="231F20"/>
        </w:rPr>
        <w:t>even</w:t>
      </w:r>
      <w:r>
        <w:rPr>
          <w:color w:val="231F20"/>
          <w:spacing w:val="-8"/>
        </w:rPr>
        <w:t> </w:t>
      </w:r>
      <w:r>
        <w:rPr>
          <w:color w:val="231F20"/>
        </w:rPr>
        <w:t>if</w:t>
      </w:r>
      <w:r>
        <w:rPr>
          <w:color w:val="231F20"/>
          <w:spacing w:val="-8"/>
        </w:rPr>
        <w:t> </w:t>
      </w:r>
      <w:r>
        <w:rPr>
          <w:color w:val="231F20"/>
        </w:rPr>
        <w:t>it</w:t>
      </w:r>
      <w:r>
        <w:rPr>
          <w:color w:val="231F20"/>
          <w:spacing w:val="-8"/>
        </w:rPr>
        <w:t> </w:t>
      </w:r>
      <w:r>
        <w:rPr>
          <w:color w:val="231F20"/>
        </w:rPr>
        <w:t>is</w:t>
      </w:r>
      <w:r>
        <w:rPr>
          <w:color w:val="231F20"/>
          <w:spacing w:val="-8"/>
        </w:rPr>
        <w:t> </w:t>
      </w:r>
      <w:r>
        <w:rPr>
          <w:color w:val="231F20"/>
        </w:rPr>
        <w:t>later</w:t>
      </w:r>
      <w:r>
        <w:rPr>
          <w:color w:val="231F20"/>
          <w:spacing w:val="-8"/>
        </w:rPr>
        <w:t> </w:t>
      </w:r>
      <w:r>
        <w:rPr>
          <w:color w:val="231F20"/>
        </w:rPr>
        <w:t>paid</w:t>
      </w:r>
      <w:r>
        <w:rPr>
          <w:color w:val="231F20"/>
          <w:spacing w:val="-8"/>
        </w:rPr>
        <w:t> </w:t>
      </w:r>
      <w:r>
        <w:rPr>
          <w:color w:val="231F20"/>
        </w:rPr>
        <w:t>back,</w:t>
      </w:r>
      <w:r>
        <w:rPr>
          <w:color w:val="231F20"/>
          <w:spacing w:val="-8"/>
        </w:rPr>
        <w:t> </w:t>
      </w:r>
      <w:r>
        <w:rPr>
          <w:color w:val="231F20"/>
        </w:rPr>
        <w:t>and</w:t>
      </w:r>
      <w:r>
        <w:rPr>
          <w:color w:val="231F20"/>
          <w:spacing w:val="-8"/>
        </w:rPr>
        <w:t> </w:t>
      </w:r>
      <w:r>
        <w:rPr>
          <w:color w:val="231F20"/>
        </w:rPr>
        <w:t>it cannot be put back into the fund. Trustees who release money</w:t>
      </w:r>
      <w:r>
        <w:rPr>
          <w:color w:val="231F20"/>
          <w:spacing w:val="-6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6"/>
        </w:rPr>
        <w:t> </w:t>
      </w:r>
      <w:r>
        <w:rPr>
          <w:color w:val="231F20"/>
        </w:rPr>
        <w:t>member</w:t>
      </w:r>
      <w:r>
        <w:rPr>
          <w:color w:val="231F20"/>
          <w:spacing w:val="-6"/>
        </w:rPr>
        <w:t> </w:t>
      </w:r>
      <w:r>
        <w:rPr>
          <w:color w:val="231F20"/>
        </w:rPr>
        <w:t>who</w:t>
      </w:r>
      <w:r>
        <w:rPr>
          <w:color w:val="231F20"/>
          <w:spacing w:val="-5"/>
        </w:rPr>
        <w:t> </w:t>
      </w:r>
      <w:r>
        <w:rPr>
          <w:color w:val="231F20"/>
        </w:rPr>
        <w:t>has</w:t>
      </w:r>
      <w:r>
        <w:rPr>
          <w:color w:val="231F20"/>
          <w:spacing w:val="-5"/>
        </w:rPr>
        <w:t> </w:t>
      </w:r>
      <w:r>
        <w:rPr>
          <w:color w:val="231F20"/>
        </w:rPr>
        <w:t>not</w:t>
      </w:r>
      <w:r>
        <w:rPr>
          <w:color w:val="231F20"/>
          <w:spacing w:val="-5"/>
        </w:rPr>
        <w:t> </w:t>
      </w:r>
      <w:r>
        <w:rPr>
          <w:color w:val="231F20"/>
        </w:rPr>
        <w:t>met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6"/>
        </w:rPr>
        <w:t> </w:t>
      </w:r>
      <w:r>
        <w:rPr>
          <w:color w:val="231F20"/>
        </w:rPr>
        <w:t>condition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</w:rPr>
        <w:t>release may</w:t>
      </w:r>
      <w:r>
        <w:rPr>
          <w:color w:val="231F20"/>
          <w:spacing w:val="-7"/>
        </w:rPr>
        <w:t> </w:t>
      </w:r>
      <w:r>
        <w:rPr>
          <w:color w:val="231F20"/>
        </w:rPr>
        <w:t>face</w:t>
      </w:r>
      <w:r>
        <w:rPr>
          <w:color w:val="231F20"/>
          <w:spacing w:val="-7"/>
        </w:rPr>
        <w:t> </w:t>
      </w:r>
      <w:r>
        <w:rPr>
          <w:color w:val="231F20"/>
        </w:rPr>
        <w:t>administrative</w:t>
      </w:r>
      <w:r>
        <w:rPr>
          <w:color w:val="231F20"/>
          <w:spacing w:val="-7"/>
        </w:rPr>
        <w:t> </w:t>
      </w:r>
      <w:r>
        <w:rPr>
          <w:color w:val="231F20"/>
        </w:rPr>
        <w:t>penalties</w:t>
      </w:r>
      <w:r>
        <w:rPr>
          <w:color w:val="231F20"/>
          <w:spacing w:val="-6"/>
        </w:rPr>
        <w:t> </w:t>
      </w:r>
      <w:r>
        <w:rPr>
          <w:color w:val="231F20"/>
        </w:rPr>
        <w:t>and</w:t>
      </w:r>
      <w:r>
        <w:rPr>
          <w:color w:val="231F20"/>
          <w:spacing w:val="-6"/>
        </w:rPr>
        <w:t> </w:t>
      </w:r>
      <w:r>
        <w:rPr>
          <w:color w:val="231F20"/>
        </w:rPr>
        <w:t>can</w:t>
      </w:r>
      <w:r>
        <w:rPr>
          <w:color w:val="231F20"/>
          <w:spacing w:val="-7"/>
        </w:rPr>
        <w:t> </w:t>
      </w:r>
      <w:r>
        <w:rPr>
          <w:color w:val="231F20"/>
        </w:rPr>
        <w:t>be</w:t>
      </w:r>
      <w:r>
        <w:rPr>
          <w:color w:val="231F20"/>
          <w:spacing w:val="-6"/>
        </w:rPr>
        <w:t> </w:t>
      </w:r>
      <w:r>
        <w:rPr>
          <w:color w:val="231F20"/>
        </w:rPr>
        <w:t>disqualified</w:t>
      </w:r>
      <w:r>
        <w:rPr>
          <w:color w:val="231F20"/>
          <w:spacing w:val="-6"/>
        </w:rPr>
        <w:t> </w:t>
      </w:r>
      <w:r>
        <w:rPr>
          <w:color w:val="231F20"/>
        </w:rPr>
        <w:t>as trustees, and a disqualification is made public.</w:t>
      </w:r>
    </w:p>
    <w:p>
      <w:pPr>
        <w:pStyle w:val="BodyText"/>
        <w:spacing w:before="53"/>
      </w:pPr>
    </w:p>
    <w:p>
      <w:pPr>
        <w:spacing w:line="240" w:lineRule="auto"/>
        <w:ind w:left="172" w:right="-58" w:firstLine="0"/>
        <w:rPr>
          <w:sz w:val="20"/>
        </w:rPr>
      </w:pPr>
      <w:r>
        <w:rPr>
          <w:sz w:val="20"/>
        </w:rPr>
        <mc:AlternateContent>
          <mc:Choice Requires="wps">
            <w:drawing>
              <wp:inline distT="0" distB="0" distL="0" distR="0">
                <wp:extent cx="3141345" cy="556895"/>
                <wp:effectExtent l="0" t="0" r="0" b="0"/>
                <wp:docPr id="19" name="Textbox 19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9" name="Textbox 19"/>
                      <wps:cNvSpPr txBox="1"/>
                      <wps:spPr>
                        <a:xfrm>
                          <a:off x="0" y="0"/>
                          <a:ext cx="3141345" cy="556895"/>
                        </a:xfrm>
                        <a:prstGeom prst="rect">
                          <a:avLst/>
                        </a:prstGeom>
                        <a:solidFill>
                          <a:srgbClr val="27AAE2">
                            <a:alpha val="18998"/>
                          </a:srgbClr>
                        </a:solidFill>
                      </wps:spPr>
                      <wps:txbx>
                        <w:txbxContent>
                          <w:p>
                            <w:pPr>
                              <w:pStyle w:val="BodyText"/>
                              <w:spacing w:line="276" w:lineRule="auto" w:before="34"/>
                              <w:ind w:left="41" w:right="47"/>
                              <w:jc w:val="both"/>
                              <w:rPr>
                                <w:color w:val="000000"/>
                              </w:rPr>
                            </w:pPr>
                            <w:r>
                              <w:rPr>
                                <w:b/>
                                <w:color w:val="231F20"/>
                              </w:rPr>
                              <w:t>How</w:t>
                            </w:r>
                            <w:r>
                              <w:rPr>
                                <w:b/>
                                <w:color w:val="231F20"/>
                                <w:spacing w:val="-4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231F20"/>
                              </w:rPr>
                              <w:t>we</w:t>
                            </w:r>
                            <w:r>
                              <w:rPr>
                                <w:b/>
                                <w:color w:val="231F20"/>
                                <w:spacing w:val="-4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231F20"/>
                              </w:rPr>
                              <w:t>can</w:t>
                            </w:r>
                            <w:r>
                              <w:rPr>
                                <w:b/>
                                <w:color w:val="231F20"/>
                                <w:spacing w:val="-4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231F20"/>
                              </w:rPr>
                              <w:t>help:</w:t>
                            </w:r>
                            <w:r>
                              <w:rPr>
                                <w:b/>
                                <w:color w:val="231F20"/>
                                <w:spacing w:val="-4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Before</w:t>
                            </w:r>
                            <w:r>
                              <w:rPr>
                                <w:color w:val="231F20"/>
                                <w:spacing w:val="-4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you</w:t>
                            </w:r>
                            <w:r>
                              <w:rPr>
                                <w:color w:val="231F20"/>
                                <w:spacing w:val="-4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withdraw,</w:t>
                            </w:r>
                            <w:r>
                              <w:rPr>
                                <w:color w:val="231F20"/>
                                <w:spacing w:val="-4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lend</w:t>
                            </w:r>
                            <w:r>
                              <w:rPr>
                                <w:color w:val="231F20"/>
                                <w:spacing w:val="-4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or</w:t>
                            </w:r>
                            <w:r>
                              <w:rPr>
                                <w:color w:val="231F20"/>
                                <w:spacing w:val="-4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invest</w:t>
                            </w:r>
                            <w:r>
                              <w:rPr>
                                <w:color w:val="231F20"/>
                                <w:spacing w:val="-4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fund money, contact our office and we will help you check the rules first.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style="width:247.35pt;height:43.85pt;mso-position-horizontal-relative:char;mso-position-vertical-relative:line" type="#_x0000_t202" id="docshape17" filled="true" fillcolor="#27aae2" stroked="false">
                <w10:anchorlock/>
                <v:textbox inset="0,0,0,0">
                  <w:txbxContent>
                    <w:p>
                      <w:pPr>
                        <w:pStyle w:val="BodyText"/>
                        <w:spacing w:line="276" w:lineRule="auto" w:before="34"/>
                        <w:ind w:left="41" w:right="47"/>
                        <w:jc w:val="both"/>
                        <w:rPr>
                          <w:color w:val="000000"/>
                        </w:rPr>
                      </w:pPr>
                      <w:r>
                        <w:rPr>
                          <w:b/>
                          <w:color w:val="231F20"/>
                        </w:rPr>
                        <w:t>How</w:t>
                      </w:r>
                      <w:r>
                        <w:rPr>
                          <w:b/>
                          <w:color w:val="231F20"/>
                          <w:spacing w:val="-4"/>
                        </w:rPr>
                        <w:t> </w:t>
                      </w:r>
                      <w:r>
                        <w:rPr>
                          <w:b/>
                          <w:color w:val="231F20"/>
                        </w:rPr>
                        <w:t>we</w:t>
                      </w:r>
                      <w:r>
                        <w:rPr>
                          <w:b/>
                          <w:color w:val="231F20"/>
                          <w:spacing w:val="-4"/>
                        </w:rPr>
                        <w:t> </w:t>
                      </w:r>
                      <w:r>
                        <w:rPr>
                          <w:b/>
                          <w:color w:val="231F20"/>
                        </w:rPr>
                        <w:t>can</w:t>
                      </w:r>
                      <w:r>
                        <w:rPr>
                          <w:b/>
                          <w:color w:val="231F20"/>
                          <w:spacing w:val="-4"/>
                        </w:rPr>
                        <w:t> </w:t>
                      </w:r>
                      <w:r>
                        <w:rPr>
                          <w:b/>
                          <w:color w:val="231F20"/>
                        </w:rPr>
                        <w:t>help:</w:t>
                      </w:r>
                      <w:r>
                        <w:rPr>
                          <w:b/>
                          <w:color w:val="231F20"/>
                          <w:spacing w:val="-4"/>
                        </w:rPr>
                        <w:t> </w:t>
                      </w:r>
                      <w:r>
                        <w:rPr>
                          <w:color w:val="231F20"/>
                        </w:rPr>
                        <w:t>Before</w:t>
                      </w:r>
                      <w:r>
                        <w:rPr>
                          <w:color w:val="231F20"/>
                          <w:spacing w:val="-4"/>
                        </w:rPr>
                        <w:t> </w:t>
                      </w:r>
                      <w:r>
                        <w:rPr>
                          <w:color w:val="231F20"/>
                        </w:rPr>
                        <w:t>you</w:t>
                      </w:r>
                      <w:r>
                        <w:rPr>
                          <w:color w:val="231F20"/>
                          <w:spacing w:val="-4"/>
                        </w:rPr>
                        <w:t> </w:t>
                      </w:r>
                      <w:r>
                        <w:rPr>
                          <w:color w:val="231F20"/>
                        </w:rPr>
                        <w:t>withdraw,</w:t>
                      </w:r>
                      <w:r>
                        <w:rPr>
                          <w:color w:val="231F20"/>
                          <w:spacing w:val="-4"/>
                        </w:rPr>
                        <w:t> </w:t>
                      </w:r>
                      <w:r>
                        <w:rPr>
                          <w:color w:val="231F20"/>
                        </w:rPr>
                        <w:t>lend</w:t>
                      </w:r>
                      <w:r>
                        <w:rPr>
                          <w:color w:val="231F20"/>
                          <w:spacing w:val="-4"/>
                        </w:rPr>
                        <w:t> </w:t>
                      </w:r>
                      <w:r>
                        <w:rPr>
                          <w:color w:val="231F20"/>
                        </w:rPr>
                        <w:t>or</w:t>
                      </w:r>
                      <w:r>
                        <w:rPr>
                          <w:color w:val="231F20"/>
                          <w:spacing w:val="-4"/>
                        </w:rPr>
                        <w:t> </w:t>
                      </w:r>
                      <w:r>
                        <w:rPr>
                          <w:color w:val="231F20"/>
                        </w:rPr>
                        <w:t>invest</w:t>
                      </w:r>
                      <w:r>
                        <w:rPr>
                          <w:color w:val="231F20"/>
                          <w:spacing w:val="-4"/>
                        </w:rPr>
                        <w:t> </w:t>
                      </w:r>
                      <w:r>
                        <w:rPr>
                          <w:color w:val="231F20"/>
                        </w:rPr>
                        <w:t>fund money, contact our office and we will help you check the rules first.</w:t>
                      </w:r>
                    </w:p>
                  </w:txbxContent>
                </v:textbox>
                <v:fill opacity="12451f" type="solid"/>
              </v:shape>
            </w:pict>
          </mc:Fallback>
        </mc:AlternateContent>
      </w:r>
      <w:r>
        <w:rPr>
          <w:sz w:val="20"/>
        </w:rPr>
      </w:r>
    </w:p>
    <w:p>
      <w:pPr>
        <w:pStyle w:val="BodyText"/>
        <w:spacing w:before="5" w:after="25"/>
        <w:rPr>
          <w:sz w:val="10"/>
        </w:rPr>
      </w:pPr>
      <w:r>
        <w:rPr/>
        <w:br w:type="column"/>
      </w:r>
      <w:r>
        <w:rPr>
          <w:sz w:val="10"/>
        </w:rPr>
      </w:r>
    </w:p>
    <w:p>
      <w:pPr>
        <w:spacing w:line="240" w:lineRule="auto"/>
        <w:ind w:left="209" w:right="0" w:firstLine="0"/>
        <w:rPr>
          <w:sz w:val="20"/>
        </w:rPr>
      </w:pPr>
      <w:r>
        <w:rPr>
          <w:sz w:val="20"/>
        </w:rPr>
        <mc:AlternateContent>
          <mc:Choice Requires="wps">
            <w:drawing>
              <wp:inline distT="0" distB="0" distL="0" distR="0">
                <wp:extent cx="3115310" cy="304800"/>
                <wp:effectExtent l="0" t="0" r="0" b="0"/>
                <wp:docPr id="20" name="Textbox 20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0" name="Textbox 20"/>
                      <wps:cNvSpPr txBox="1"/>
                      <wps:spPr>
                        <a:xfrm>
                          <a:off x="0" y="0"/>
                          <a:ext cx="3115310" cy="304800"/>
                        </a:xfrm>
                        <a:prstGeom prst="rect">
                          <a:avLst/>
                        </a:prstGeom>
                        <a:solidFill>
                          <a:srgbClr val="019BD7"/>
                        </a:solidFill>
                      </wps:spPr>
                      <wps:txbx>
                        <w:txbxContent>
                          <w:p>
                            <w:pPr>
                              <w:spacing w:before="63"/>
                              <w:ind w:left="229" w:right="0" w:firstLine="0"/>
                              <w:jc w:val="left"/>
                              <w:rPr>
                                <w:b/>
                                <w:color w:val="000000"/>
                                <w:sz w:val="28"/>
                              </w:rPr>
                            </w:pPr>
                            <w:r>
                              <w:rPr>
                                <w:b/>
                                <w:color w:val="FFFFFF"/>
                                <w:sz w:val="28"/>
                              </w:rPr>
                              <w:t>How</w:t>
                            </w:r>
                            <w:r>
                              <w:rPr>
                                <w:b/>
                                <w:color w:val="FFFFFF"/>
                                <w:spacing w:val="-3"/>
                                <w:sz w:val="28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FFFFFF"/>
                                <w:sz w:val="28"/>
                              </w:rPr>
                              <w:t>can</w:t>
                            </w:r>
                            <w:r>
                              <w:rPr>
                                <w:b/>
                                <w:color w:val="FFFFFF"/>
                                <w:spacing w:val="-3"/>
                                <w:sz w:val="28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FFFFFF"/>
                                <w:sz w:val="28"/>
                              </w:rPr>
                              <w:t>we</w:t>
                            </w:r>
                            <w:r>
                              <w:rPr>
                                <w:b/>
                                <w:color w:val="FFFFFF"/>
                                <w:spacing w:val="-2"/>
                                <w:sz w:val="28"/>
                              </w:rPr>
                              <w:t> help?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style="width:245.3pt;height:24pt;mso-position-horizontal-relative:char;mso-position-vertical-relative:line" type="#_x0000_t202" id="docshape18" filled="true" fillcolor="#019bd7" stroked="false">
                <w10:anchorlock/>
                <v:textbox inset="0,0,0,0">
                  <w:txbxContent>
                    <w:p>
                      <w:pPr>
                        <w:spacing w:before="63"/>
                        <w:ind w:left="229" w:right="0" w:firstLine="0"/>
                        <w:jc w:val="left"/>
                        <w:rPr>
                          <w:b/>
                          <w:color w:val="000000"/>
                          <w:sz w:val="28"/>
                        </w:rPr>
                      </w:pPr>
                      <w:r>
                        <w:rPr>
                          <w:b/>
                          <w:color w:val="FFFFFF"/>
                          <w:sz w:val="28"/>
                        </w:rPr>
                        <w:t>How</w:t>
                      </w:r>
                      <w:r>
                        <w:rPr>
                          <w:b/>
                          <w:color w:val="FFFFFF"/>
                          <w:spacing w:val="-3"/>
                          <w:sz w:val="28"/>
                        </w:rPr>
                        <w:t> </w:t>
                      </w:r>
                      <w:r>
                        <w:rPr>
                          <w:b/>
                          <w:color w:val="FFFFFF"/>
                          <w:sz w:val="28"/>
                        </w:rPr>
                        <w:t>can</w:t>
                      </w:r>
                      <w:r>
                        <w:rPr>
                          <w:b/>
                          <w:color w:val="FFFFFF"/>
                          <w:spacing w:val="-3"/>
                          <w:sz w:val="28"/>
                        </w:rPr>
                        <w:t> </w:t>
                      </w:r>
                      <w:r>
                        <w:rPr>
                          <w:b/>
                          <w:color w:val="FFFFFF"/>
                          <w:sz w:val="28"/>
                        </w:rPr>
                        <w:t>we</w:t>
                      </w:r>
                      <w:r>
                        <w:rPr>
                          <w:b/>
                          <w:color w:val="FFFFFF"/>
                          <w:spacing w:val="-2"/>
                          <w:sz w:val="28"/>
                        </w:rPr>
                        <w:t> help?</w:t>
                      </w:r>
                    </w:p>
                  </w:txbxContent>
                </v:textbox>
                <v:fill type="solid"/>
              </v:shape>
            </w:pict>
          </mc:Fallback>
        </mc:AlternateContent>
      </w:r>
      <w:r>
        <w:rPr>
          <w:sz w:val="20"/>
        </w:rPr>
      </w:r>
    </w:p>
    <w:p>
      <w:pPr>
        <w:pStyle w:val="BodyText"/>
        <w:spacing w:line="254" w:lineRule="auto" w:before="171"/>
        <w:ind w:left="214" w:right="178"/>
        <w:jc w:val="both"/>
      </w:pPr>
      <w:r>
        <w:rPr>
          <w:color w:val="231F20"/>
        </w:rPr>
        <w:t>Our</w:t>
      </w:r>
      <w:r>
        <w:rPr>
          <w:color w:val="231F20"/>
          <w:spacing w:val="-5"/>
        </w:rPr>
        <w:t> </w:t>
      </w:r>
      <w:r>
        <w:rPr>
          <w:color w:val="231F20"/>
        </w:rPr>
        <w:t>SMSF</w:t>
      </w:r>
      <w:r>
        <w:rPr>
          <w:color w:val="231F20"/>
          <w:spacing w:val="-4"/>
        </w:rPr>
        <w:t> </w:t>
      </w:r>
      <w:r>
        <w:rPr>
          <w:color w:val="231F20"/>
        </w:rPr>
        <w:t>team</w:t>
      </w:r>
      <w:r>
        <w:rPr>
          <w:color w:val="231F20"/>
          <w:spacing w:val="-5"/>
        </w:rPr>
        <w:t> </w:t>
      </w:r>
      <w:r>
        <w:rPr>
          <w:color w:val="231F20"/>
        </w:rPr>
        <w:t>is</w:t>
      </w:r>
      <w:r>
        <w:rPr>
          <w:color w:val="231F20"/>
          <w:spacing w:val="-5"/>
        </w:rPr>
        <w:t> </w:t>
      </w:r>
      <w:r>
        <w:rPr>
          <w:color w:val="231F20"/>
        </w:rPr>
        <w:t>committed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helping</w:t>
      </w:r>
      <w:r>
        <w:rPr>
          <w:color w:val="231F20"/>
          <w:spacing w:val="-4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keep</w:t>
      </w:r>
      <w:r>
        <w:rPr>
          <w:color w:val="231F20"/>
          <w:spacing w:val="-5"/>
        </w:rPr>
        <w:t> </w:t>
      </w:r>
      <w:r>
        <w:rPr>
          <w:color w:val="231F20"/>
        </w:rPr>
        <w:t>your</w:t>
      </w:r>
      <w:r>
        <w:rPr>
          <w:color w:val="231F20"/>
          <w:spacing w:val="-5"/>
        </w:rPr>
        <w:t> </w:t>
      </w:r>
      <w:r>
        <w:rPr>
          <w:color w:val="231F20"/>
        </w:rPr>
        <w:t>fund compliant</w:t>
      </w:r>
      <w:r>
        <w:rPr>
          <w:color w:val="231F20"/>
          <w:spacing w:val="-4"/>
        </w:rPr>
        <w:t> </w:t>
      </w:r>
      <w:r>
        <w:rPr>
          <w:color w:val="231F20"/>
        </w:rPr>
        <w:t>with</w:t>
      </w:r>
      <w:r>
        <w:rPr>
          <w:color w:val="231F20"/>
          <w:spacing w:val="-4"/>
        </w:rPr>
        <w:t> </w:t>
      </w:r>
      <w:r>
        <w:rPr>
          <w:color w:val="231F20"/>
        </w:rPr>
        <w:t>superannuation</w:t>
      </w:r>
      <w:r>
        <w:rPr>
          <w:color w:val="231F20"/>
          <w:spacing w:val="-4"/>
        </w:rPr>
        <w:t> </w:t>
      </w:r>
      <w:r>
        <w:rPr>
          <w:color w:val="231F20"/>
        </w:rPr>
        <w:t>laws.</w:t>
      </w:r>
      <w:r>
        <w:rPr>
          <w:color w:val="231F20"/>
          <w:spacing w:val="-4"/>
        </w:rPr>
        <w:t> </w:t>
      </w:r>
      <w:r>
        <w:rPr>
          <w:color w:val="231F20"/>
        </w:rPr>
        <w:t>If</w:t>
      </w:r>
      <w:r>
        <w:rPr>
          <w:color w:val="231F20"/>
          <w:spacing w:val="-4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need</w:t>
      </w:r>
      <w:r>
        <w:rPr>
          <w:color w:val="231F20"/>
          <w:spacing w:val="-4"/>
        </w:rPr>
        <w:t> </w:t>
      </w:r>
      <w:r>
        <w:rPr>
          <w:color w:val="231F20"/>
        </w:rPr>
        <w:t>assistance with any of the matters outlined above, please do not hesitate to contact our office.</w:t>
      </w:r>
    </w:p>
    <w:p>
      <w:pPr>
        <w:pStyle w:val="BodyText"/>
        <w:spacing w:line="254" w:lineRule="auto" w:before="114"/>
        <w:ind w:left="214" w:right="177"/>
        <w:jc w:val="both"/>
      </w:pPr>
      <w:r>
        <w:rPr>
          <w:b/>
          <w:color w:val="231F20"/>
        </w:rPr>
        <w:t>General information only: </w:t>
      </w:r>
      <w:r>
        <w:rPr>
          <w:color w:val="231F20"/>
        </w:rPr>
        <w:t>This newsletter is general information and does not take into account your personal circumstances. Please contact our office before acting on anything in it.</w:t>
      </w:r>
    </w:p>
    <w:sectPr>
      <w:type w:val="continuous"/>
      <w:pgSz w:w="11910" w:h="16840"/>
      <w:pgMar w:top="0" w:bottom="280" w:left="566" w:right="566"/>
      <w:cols w:num="2" w:equalWidth="0">
        <w:col w:w="5111" w:space="413"/>
        <w:col w:w="5254"/>
      </w:cols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  <w:font w:name="Calibri">
    <w:altName w:val="Calibri"/>
    <w:charset w:val="1"/>
    <w:family w:val="roman"/>
    <w:pitch w:val="variable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multiLevelType w:val="hybridMultilevel"/>
    <w:lvl w:ilvl="0">
      <w:start w:val="0"/>
      <w:numFmt w:val="bullet"/>
      <w:lvlText w:val="•"/>
      <w:lvlJc w:val="left"/>
      <w:pPr>
        <w:ind w:left="494" w:hanging="360"/>
      </w:pPr>
      <w:rPr>
        <w:rFonts w:hint="default" w:ascii="Calibri" w:hAnsi="Calibri" w:eastAsia="Calibri" w:cs="Calibri"/>
        <w:spacing w:val="0"/>
        <w:w w:val="100"/>
        <w:lang w:val="en-US" w:eastAsia="en-US" w:bidi="ar-SA"/>
      </w:rPr>
    </w:lvl>
    <w:lvl w:ilvl="1">
      <w:start w:val="0"/>
      <w:numFmt w:val="bullet"/>
      <w:lvlText w:val="•"/>
      <w:lvlJc w:val="left"/>
      <w:pPr>
        <w:ind w:left="962" w:hanging="360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1425" w:hanging="360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1888" w:hanging="360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2351" w:hanging="360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2814" w:hanging="360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3277" w:hanging="360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3740" w:hanging="360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4203" w:hanging="360"/>
      </w:pPr>
      <w:rPr>
        <w:rFonts w:hint="default"/>
        <w:lang w:val="en-US" w:eastAsia="en-US" w:bidi="ar-SA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Calibri" w:hAnsi="Calibri" w:eastAsia="Calibri" w:cs="Calibri"/>
      <w:lang w:val="en-US" w:eastAsia="en-US" w:bidi="ar-SA"/>
    </w:rPr>
  </w:style>
  <w:style w:styleId="BodyText" w:type="paragraph">
    <w:name w:val="Body Text"/>
    <w:basedOn w:val="Normal"/>
    <w:uiPriority w:val="1"/>
    <w:qFormat/>
    <w:pPr/>
    <w:rPr>
      <w:rFonts w:ascii="Calibri" w:hAnsi="Calibri" w:eastAsia="Calibri" w:cs="Calibri"/>
      <w:sz w:val="20"/>
      <w:szCs w:val="20"/>
      <w:lang w:val="en-US" w:eastAsia="en-US" w:bidi="ar-SA"/>
    </w:rPr>
  </w:style>
  <w:style w:styleId="Heading1" w:type="paragraph">
    <w:name w:val="Heading 1"/>
    <w:basedOn w:val="Normal"/>
    <w:uiPriority w:val="1"/>
    <w:qFormat/>
    <w:pPr>
      <w:ind w:left="173"/>
      <w:outlineLvl w:val="1"/>
    </w:pPr>
    <w:rPr>
      <w:rFonts w:ascii="Calibri" w:hAnsi="Calibri" w:eastAsia="Calibri" w:cs="Calibri"/>
      <w:b/>
      <w:bCs/>
      <w:sz w:val="20"/>
      <w:szCs w:val="20"/>
      <w:lang w:val="en-US" w:eastAsia="en-US" w:bidi="ar-SA"/>
    </w:rPr>
  </w:style>
  <w:style w:styleId="ListParagraph" w:type="paragraph">
    <w:name w:val="List Paragraph"/>
    <w:basedOn w:val="Normal"/>
    <w:uiPriority w:val="1"/>
    <w:qFormat/>
    <w:pPr>
      <w:ind w:left="533" w:hanging="360"/>
      <w:jc w:val="both"/>
    </w:pPr>
    <w:rPr>
      <w:rFonts w:ascii="Calibri" w:hAnsi="Calibri" w:eastAsia="Calibri" w:cs="Calibri"/>
      <w:lang w:val="en-US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en-U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png"/><Relationship Id="rId6" Type="http://schemas.openxmlformats.org/officeDocument/2006/relationships/image" Target="media/image2.jpeg"/><Relationship Id="rId7" Type="http://schemas.openxmlformats.org/officeDocument/2006/relationships/image" Target="media/image3.jpeg"/><Relationship Id="rId8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October-2026 - Newsletter</dc:title>
  <dcterms:created xsi:type="dcterms:W3CDTF">2026-10-19T05:37:23Z</dcterms:created>
  <dcterms:modified xsi:type="dcterms:W3CDTF">2026-10-19T05:37:23Z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v10.0.20290.1</vt:lpwstr>
  </property>
  <property fmtid="{D5CDD505-2E9C-101B-9397-08002B2CF9AE}" pid="3" name="Created">
    <vt:filetime>2026-10-16T00:00:00Z</vt:filetime>
  </property>
  <property fmtid="{D5CDD505-2E9C-101B-9397-08002B2CF9AE}" pid="4" name="Creator">
    <vt:lpwstr>Adobe Illustrator 30.8 (Windows)</vt:lpwstr>
  </property>
  <property fmtid="{D5CDD505-2E9C-101B-9397-08002B2CF9AE}" pid="5" name="LastSaved">
    <vt:filetime>2026-10-19T00:00:00Z</vt:filetime>
  </property>
  <property fmtid="{D5CDD505-2E9C-101B-9397-08002B2CF9AE}" pid="6" name="Producer">
    <vt:lpwstr>Adobe PDF library 18.00</vt:lpwstr>
  </property>
</Properties>
</file>